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674" w:rsidRDefault="002B2674" w:rsidP="0097229E">
      <w:pPr>
        <w:jc w:val="both"/>
        <w:rPr>
          <w:b/>
          <w:i/>
          <w:u w:val="single"/>
        </w:rPr>
      </w:pPr>
    </w:p>
    <w:p w:rsidR="002B2674" w:rsidRDefault="002B2674">
      <w:pPr>
        <w:rPr>
          <w:sz w:val="32"/>
          <w:szCs w:val="32"/>
        </w:rPr>
      </w:pPr>
    </w:p>
    <w:p w:rsidR="002B2674" w:rsidRDefault="002B2674">
      <w:pPr>
        <w:rPr>
          <w:sz w:val="32"/>
          <w:szCs w:val="32"/>
        </w:rPr>
      </w:pPr>
    </w:p>
    <w:p w:rsidR="002B2674" w:rsidRDefault="002B2674">
      <w:pPr>
        <w:rPr>
          <w:sz w:val="32"/>
          <w:szCs w:val="32"/>
        </w:rPr>
      </w:pPr>
    </w:p>
    <w:p w:rsidR="002B2674" w:rsidRDefault="002B2674">
      <w:pPr>
        <w:rPr>
          <w:sz w:val="32"/>
          <w:szCs w:val="32"/>
        </w:rPr>
      </w:pPr>
      <w:bookmarkStart w:id="0" w:name="_GoBack"/>
      <w:bookmarkEnd w:id="0"/>
    </w:p>
    <w:p w:rsidR="002B2674" w:rsidRDefault="002B2674">
      <w:pPr>
        <w:rPr>
          <w:sz w:val="32"/>
          <w:szCs w:val="32"/>
        </w:rPr>
      </w:pPr>
    </w:p>
    <w:p w:rsidR="002B2674" w:rsidRDefault="002B2674">
      <w:pPr>
        <w:rPr>
          <w:sz w:val="32"/>
          <w:szCs w:val="32"/>
        </w:rPr>
      </w:pPr>
    </w:p>
    <w:p w:rsidR="002B2674" w:rsidRDefault="002B2674">
      <w:pPr>
        <w:rPr>
          <w:sz w:val="32"/>
          <w:szCs w:val="32"/>
        </w:rPr>
      </w:pPr>
    </w:p>
    <w:p w:rsidR="002B2674" w:rsidRDefault="002B2674">
      <w:pPr>
        <w:rPr>
          <w:sz w:val="32"/>
          <w:szCs w:val="32"/>
        </w:rPr>
      </w:pPr>
    </w:p>
    <w:p w:rsidR="002B2674" w:rsidRDefault="002B2674">
      <w:pPr>
        <w:rPr>
          <w:sz w:val="32"/>
          <w:szCs w:val="32"/>
        </w:rPr>
      </w:pPr>
    </w:p>
    <w:p w:rsidR="002B2674" w:rsidRPr="00B125BE" w:rsidRDefault="002B2674" w:rsidP="002B2674">
      <w:pPr>
        <w:pBdr>
          <w:top w:val="single" w:sz="4" w:space="1" w:color="auto"/>
          <w:left w:val="single" w:sz="4" w:space="4" w:color="auto"/>
          <w:bottom w:val="single" w:sz="4" w:space="1" w:color="auto"/>
          <w:right w:val="single" w:sz="4" w:space="4" w:color="auto"/>
        </w:pBdr>
        <w:jc w:val="center"/>
        <w:rPr>
          <w:b/>
          <w:i/>
          <w:sz w:val="36"/>
          <w:szCs w:val="36"/>
        </w:rPr>
      </w:pPr>
      <w:r w:rsidRPr="00B125BE">
        <w:rPr>
          <w:b/>
          <w:i/>
          <w:sz w:val="36"/>
          <w:szCs w:val="36"/>
        </w:rPr>
        <w:t>Pobreza Cero = Unificación y Universalización del Sistema de Asignaciones Familiares</w:t>
      </w:r>
    </w:p>
    <w:p w:rsidR="002B2674" w:rsidRDefault="002B2674" w:rsidP="002B2674">
      <w:pPr>
        <w:jc w:val="center"/>
        <w:rPr>
          <w:sz w:val="32"/>
          <w:szCs w:val="32"/>
        </w:rPr>
      </w:pPr>
    </w:p>
    <w:p w:rsidR="002B2674" w:rsidRDefault="002B2674" w:rsidP="002B2674">
      <w:pPr>
        <w:jc w:val="center"/>
        <w:rPr>
          <w:sz w:val="32"/>
          <w:szCs w:val="32"/>
        </w:rPr>
      </w:pPr>
    </w:p>
    <w:p w:rsidR="002B2674" w:rsidRDefault="002B2674" w:rsidP="002B2674">
      <w:pPr>
        <w:jc w:val="center"/>
        <w:rPr>
          <w:sz w:val="32"/>
          <w:szCs w:val="32"/>
        </w:rPr>
      </w:pPr>
    </w:p>
    <w:p w:rsidR="002B2674" w:rsidRDefault="002B2674" w:rsidP="002B2674">
      <w:pPr>
        <w:jc w:val="center"/>
        <w:rPr>
          <w:sz w:val="32"/>
          <w:szCs w:val="32"/>
        </w:rPr>
      </w:pPr>
    </w:p>
    <w:p w:rsidR="002B2674" w:rsidRDefault="002B2674" w:rsidP="002B2674">
      <w:pPr>
        <w:jc w:val="center"/>
        <w:rPr>
          <w:sz w:val="32"/>
          <w:szCs w:val="32"/>
        </w:rPr>
      </w:pPr>
    </w:p>
    <w:p w:rsidR="002B2674" w:rsidRPr="002B2674" w:rsidRDefault="002B2674" w:rsidP="002B2674">
      <w:pPr>
        <w:jc w:val="center"/>
        <w:rPr>
          <w:b/>
          <w:sz w:val="32"/>
          <w:szCs w:val="32"/>
        </w:rPr>
      </w:pPr>
      <w:r w:rsidRPr="002B2674">
        <w:rPr>
          <w:b/>
          <w:sz w:val="32"/>
          <w:szCs w:val="32"/>
        </w:rPr>
        <w:t xml:space="preserve">Victoria </w:t>
      </w:r>
      <w:proofErr w:type="spellStart"/>
      <w:r w:rsidRPr="002B2674">
        <w:rPr>
          <w:b/>
          <w:sz w:val="32"/>
          <w:szCs w:val="32"/>
        </w:rPr>
        <w:t>Donda</w:t>
      </w:r>
      <w:proofErr w:type="spellEnd"/>
      <w:r w:rsidRPr="002B2674">
        <w:rPr>
          <w:b/>
          <w:sz w:val="32"/>
          <w:szCs w:val="32"/>
        </w:rPr>
        <w:t xml:space="preserve"> – Claudio Lozano</w:t>
      </w:r>
    </w:p>
    <w:p w:rsidR="002B2674" w:rsidRDefault="002B2674" w:rsidP="002B2674">
      <w:pPr>
        <w:jc w:val="center"/>
        <w:rPr>
          <w:sz w:val="32"/>
          <w:szCs w:val="32"/>
        </w:rPr>
      </w:pPr>
    </w:p>
    <w:p w:rsidR="002B2674" w:rsidRDefault="002B2674" w:rsidP="002B2674">
      <w:pPr>
        <w:jc w:val="center"/>
        <w:rPr>
          <w:sz w:val="32"/>
          <w:szCs w:val="32"/>
        </w:rPr>
      </w:pPr>
    </w:p>
    <w:p w:rsidR="002B2674" w:rsidRDefault="002B2674" w:rsidP="002B2674">
      <w:pPr>
        <w:jc w:val="center"/>
        <w:rPr>
          <w:sz w:val="32"/>
          <w:szCs w:val="32"/>
        </w:rPr>
      </w:pPr>
    </w:p>
    <w:p w:rsidR="002B2674" w:rsidRDefault="002B2674" w:rsidP="002B2674">
      <w:pPr>
        <w:jc w:val="center"/>
        <w:rPr>
          <w:sz w:val="32"/>
          <w:szCs w:val="32"/>
        </w:rPr>
      </w:pPr>
    </w:p>
    <w:p w:rsidR="002B2674" w:rsidRDefault="002B2674" w:rsidP="002B2674">
      <w:pPr>
        <w:jc w:val="center"/>
        <w:rPr>
          <w:sz w:val="32"/>
          <w:szCs w:val="32"/>
        </w:rPr>
      </w:pPr>
    </w:p>
    <w:p w:rsidR="002B2674" w:rsidRDefault="002B2674" w:rsidP="002B2674">
      <w:pPr>
        <w:jc w:val="center"/>
        <w:rPr>
          <w:sz w:val="32"/>
          <w:szCs w:val="32"/>
        </w:rPr>
      </w:pPr>
    </w:p>
    <w:p w:rsidR="002B2674" w:rsidRDefault="002B2674" w:rsidP="002B2674">
      <w:pPr>
        <w:jc w:val="center"/>
        <w:rPr>
          <w:sz w:val="32"/>
          <w:szCs w:val="32"/>
        </w:rPr>
      </w:pPr>
    </w:p>
    <w:p w:rsidR="002B2674" w:rsidRPr="002B2674" w:rsidRDefault="002B2674" w:rsidP="002B2674">
      <w:pPr>
        <w:jc w:val="center"/>
        <w:rPr>
          <w:b/>
          <w:szCs w:val="24"/>
        </w:rPr>
      </w:pPr>
      <w:r w:rsidRPr="002B2674">
        <w:rPr>
          <w:b/>
          <w:szCs w:val="24"/>
        </w:rPr>
        <w:t>Diciembre 2015</w:t>
      </w:r>
      <w:r w:rsidRPr="002B2674">
        <w:rPr>
          <w:b/>
          <w:szCs w:val="24"/>
        </w:rPr>
        <w:br w:type="page"/>
      </w:r>
    </w:p>
    <w:p w:rsidR="00F4327D" w:rsidRPr="00F4327D" w:rsidRDefault="00F4327D" w:rsidP="0097229E">
      <w:pPr>
        <w:jc w:val="both"/>
        <w:rPr>
          <w:b/>
          <w:i/>
          <w:u w:val="single"/>
        </w:rPr>
      </w:pPr>
      <w:r w:rsidRPr="00F4327D">
        <w:rPr>
          <w:b/>
          <w:i/>
          <w:u w:val="single"/>
        </w:rPr>
        <w:lastRenderedPageBreak/>
        <w:t xml:space="preserve">Breve diagnóstico sobre la cobertura del </w:t>
      </w:r>
      <w:r>
        <w:rPr>
          <w:b/>
          <w:i/>
          <w:u w:val="single"/>
        </w:rPr>
        <w:t xml:space="preserve">sistema </w:t>
      </w:r>
      <w:r w:rsidR="008B0880">
        <w:rPr>
          <w:b/>
          <w:i/>
          <w:u w:val="single"/>
        </w:rPr>
        <w:t xml:space="preserve">actual </w:t>
      </w:r>
      <w:r>
        <w:rPr>
          <w:b/>
          <w:i/>
          <w:u w:val="single"/>
        </w:rPr>
        <w:t>de p</w:t>
      </w:r>
      <w:r w:rsidRPr="00F4327D">
        <w:rPr>
          <w:b/>
          <w:i/>
          <w:u w:val="single"/>
        </w:rPr>
        <w:t xml:space="preserve">rotección </w:t>
      </w:r>
      <w:r w:rsidR="008B0880">
        <w:rPr>
          <w:b/>
          <w:i/>
          <w:u w:val="single"/>
        </w:rPr>
        <w:t>a la</w:t>
      </w:r>
      <w:r w:rsidRPr="00F4327D">
        <w:rPr>
          <w:b/>
          <w:i/>
          <w:u w:val="single"/>
        </w:rPr>
        <w:t xml:space="preserve"> niñez</w:t>
      </w:r>
    </w:p>
    <w:p w:rsidR="00F4327D" w:rsidRDefault="00F4327D" w:rsidP="0097229E">
      <w:pPr>
        <w:jc w:val="both"/>
      </w:pPr>
    </w:p>
    <w:p w:rsidR="00F4327D" w:rsidRDefault="00F4327D" w:rsidP="0097229E">
      <w:pPr>
        <w:jc w:val="both"/>
      </w:pPr>
    </w:p>
    <w:p w:rsidR="0097229E" w:rsidRPr="00210A1B" w:rsidRDefault="0097229E" w:rsidP="0097229E">
      <w:pPr>
        <w:jc w:val="both"/>
        <w:rPr>
          <w:szCs w:val="24"/>
        </w:rPr>
      </w:pPr>
      <w:r>
        <w:t xml:space="preserve">El actual sistema de AAFF </w:t>
      </w:r>
      <w:r w:rsidRPr="00210A1B">
        <w:rPr>
          <w:szCs w:val="24"/>
        </w:rPr>
        <w:t xml:space="preserve">incurre en </w:t>
      </w:r>
      <w:r w:rsidR="00906B73">
        <w:rPr>
          <w:szCs w:val="24"/>
        </w:rPr>
        <w:t>cuatro</w:t>
      </w:r>
      <w:r w:rsidRPr="00210A1B">
        <w:rPr>
          <w:szCs w:val="24"/>
        </w:rPr>
        <w:t xml:space="preserve"> grandes limitaciones </w:t>
      </w:r>
      <w:r>
        <w:rPr>
          <w:szCs w:val="24"/>
        </w:rPr>
        <w:t>que impiden</w:t>
      </w:r>
      <w:r w:rsidRPr="00210A1B">
        <w:rPr>
          <w:szCs w:val="24"/>
        </w:rPr>
        <w:t xml:space="preserve"> una efectiva inclusión de los sectores más vulnerables:</w:t>
      </w:r>
    </w:p>
    <w:p w:rsidR="0097229E" w:rsidRPr="00210A1B" w:rsidRDefault="0097229E" w:rsidP="0097229E">
      <w:pPr>
        <w:jc w:val="both"/>
        <w:rPr>
          <w:szCs w:val="24"/>
        </w:rPr>
      </w:pPr>
    </w:p>
    <w:p w:rsidR="0097229E" w:rsidRPr="00210A1B" w:rsidRDefault="0097229E" w:rsidP="0097229E">
      <w:pPr>
        <w:pStyle w:val="Prrafodelista"/>
        <w:numPr>
          <w:ilvl w:val="0"/>
          <w:numId w:val="1"/>
        </w:numPr>
        <w:jc w:val="both"/>
        <w:rPr>
          <w:szCs w:val="24"/>
        </w:rPr>
      </w:pPr>
      <w:r>
        <w:rPr>
          <w:b/>
          <w:i/>
          <w:szCs w:val="24"/>
        </w:rPr>
        <w:t>N</w:t>
      </w:r>
      <w:r w:rsidRPr="00210A1B">
        <w:rPr>
          <w:b/>
          <w:i/>
          <w:szCs w:val="24"/>
        </w:rPr>
        <w:t>o es universal</w:t>
      </w:r>
      <w:r w:rsidRPr="00210A1B">
        <w:rPr>
          <w:szCs w:val="24"/>
        </w:rPr>
        <w:t xml:space="preserve">: pese a que </w:t>
      </w:r>
      <w:r>
        <w:rPr>
          <w:szCs w:val="24"/>
        </w:rPr>
        <w:t>la AUH</w:t>
      </w:r>
      <w:r w:rsidRPr="00210A1B">
        <w:rPr>
          <w:szCs w:val="24"/>
        </w:rPr>
        <w:t xml:space="preserve"> tiene como objetivo atender a los hijos menores de 18 años y prenatales de los trabajadores informales y desocupados que no perciban la prestación correspondiente, desde su diseño impone una serie de restricciones para su acceso (demostración de ingresos inferiores al salario mínimo, </w:t>
      </w:r>
      <w:r>
        <w:rPr>
          <w:szCs w:val="24"/>
        </w:rPr>
        <w:t>cobertura hasta el quinto hijo, exclusión de trabajadores au</w:t>
      </w:r>
      <w:r w:rsidRPr="00210A1B">
        <w:rPr>
          <w:szCs w:val="24"/>
        </w:rPr>
        <w:t xml:space="preserve">tónomos </w:t>
      </w:r>
      <w:r>
        <w:rPr>
          <w:szCs w:val="24"/>
        </w:rPr>
        <w:t xml:space="preserve">y </w:t>
      </w:r>
      <w:proofErr w:type="spellStart"/>
      <w:r>
        <w:rPr>
          <w:szCs w:val="24"/>
        </w:rPr>
        <w:t>monotributistas</w:t>
      </w:r>
      <w:proofErr w:type="spellEnd"/>
      <w:r w:rsidRPr="00210A1B">
        <w:rPr>
          <w:szCs w:val="24"/>
        </w:rPr>
        <w:t xml:space="preserve">, el carácter excluyente </w:t>
      </w:r>
      <w:r>
        <w:rPr>
          <w:szCs w:val="24"/>
        </w:rPr>
        <w:t xml:space="preserve">y punitorio de </w:t>
      </w:r>
      <w:r w:rsidRPr="00210A1B">
        <w:rPr>
          <w:szCs w:val="24"/>
        </w:rPr>
        <w:t xml:space="preserve">la contrapartida </w:t>
      </w:r>
      <w:r>
        <w:rPr>
          <w:szCs w:val="24"/>
        </w:rPr>
        <w:t>requerida en materia de</w:t>
      </w:r>
      <w:r w:rsidRPr="00210A1B">
        <w:rPr>
          <w:szCs w:val="24"/>
        </w:rPr>
        <w:t xml:space="preserve"> salud y educación, la incompatibilidad de su percepción con la mayor parte de los programas del sector público pese a que atienda otra necesidad, </w:t>
      </w:r>
      <w:proofErr w:type="spellStart"/>
      <w:r w:rsidRPr="00210A1B">
        <w:rPr>
          <w:szCs w:val="24"/>
        </w:rPr>
        <w:t>etc</w:t>
      </w:r>
      <w:proofErr w:type="spellEnd"/>
      <w:r w:rsidRPr="00210A1B">
        <w:rPr>
          <w:szCs w:val="24"/>
        </w:rPr>
        <w:t xml:space="preserve">) que genera la exclusión de nada menos que del </w:t>
      </w:r>
      <w:r>
        <w:rPr>
          <w:szCs w:val="24"/>
        </w:rPr>
        <w:t>30</w:t>
      </w:r>
      <w:r w:rsidRPr="00210A1B">
        <w:rPr>
          <w:szCs w:val="24"/>
        </w:rPr>
        <w:t>,</w:t>
      </w:r>
      <w:r>
        <w:rPr>
          <w:szCs w:val="24"/>
        </w:rPr>
        <w:t>4</w:t>
      </w:r>
      <w:r w:rsidRPr="00210A1B">
        <w:rPr>
          <w:szCs w:val="24"/>
        </w:rPr>
        <w:t xml:space="preserve">% de la población menor de 18 años, es decir </w:t>
      </w:r>
      <w:r>
        <w:rPr>
          <w:szCs w:val="24"/>
        </w:rPr>
        <w:t xml:space="preserve">más de </w:t>
      </w:r>
      <w:r w:rsidRPr="00210A1B">
        <w:rPr>
          <w:szCs w:val="24"/>
        </w:rPr>
        <w:t>3,</w:t>
      </w:r>
      <w:r>
        <w:rPr>
          <w:szCs w:val="24"/>
        </w:rPr>
        <w:t>9</w:t>
      </w:r>
      <w:r w:rsidRPr="00210A1B">
        <w:rPr>
          <w:szCs w:val="24"/>
        </w:rPr>
        <w:t xml:space="preserve"> millones de chicos.</w:t>
      </w:r>
    </w:p>
    <w:p w:rsidR="0097229E" w:rsidRPr="00210A1B" w:rsidRDefault="0097229E" w:rsidP="0097229E">
      <w:pPr>
        <w:jc w:val="both"/>
        <w:rPr>
          <w:szCs w:val="24"/>
        </w:rPr>
      </w:pPr>
    </w:p>
    <w:p w:rsidR="0097229E" w:rsidRPr="00210A1B" w:rsidRDefault="0097229E" w:rsidP="0097229E">
      <w:pPr>
        <w:ind w:left="708"/>
        <w:jc w:val="both"/>
        <w:rPr>
          <w:szCs w:val="24"/>
        </w:rPr>
      </w:pPr>
      <w:r w:rsidRPr="00210A1B">
        <w:rPr>
          <w:szCs w:val="24"/>
        </w:rPr>
        <w:t xml:space="preserve">Al hacer un análisis general de la cantidad total de niños, niñas y adolescentes que se encuentran cubiertos por este esquema, surge que la configuración que adquieren las diversas prestaciones lleva a reproducir en el tiempo “baches” de cobertura del sistema vigente. Concretamente, según lo informado en </w:t>
      </w:r>
      <w:r>
        <w:rPr>
          <w:szCs w:val="24"/>
        </w:rPr>
        <w:t>la presentación oficial,</w:t>
      </w:r>
      <w:r w:rsidRPr="00210A1B">
        <w:rPr>
          <w:szCs w:val="24"/>
        </w:rPr>
        <w:t xml:space="preserve"> la cantidad de chicos a l</w:t>
      </w:r>
      <w:r>
        <w:rPr>
          <w:szCs w:val="24"/>
        </w:rPr>
        <w:t>os</w:t>
      </w:r>
      <w:r w:rsidRPr="00210A1B">
        <w:rPr>
          <w:szCs w:val="24"/>
        </w:rPr>
        <w:t xml:space="preserve"> que el Estado Nacional </w:t>
      </w:r>
      <w:r>
        <w:rPr>
          <w:szCs w:val="24"/>
        </w:rPr>
        <w:t>cubre</w:t>
      </w:r>
      <w:r w:rsidRPr="00210A1B">
        <w:rPr>
          <w:szCs w:val="24"/>
        </w:rPr>
        <w:t xml:space="preserve"> a través de la AUH es de </w:t>
      </w:r>
      <w:r w:rsidRPr="0097229E">
        <w:rPr>
          <w:rFonts w:eastAsia="Times New Roman" w:cs="Times New Roman"/>
          <w:color w:val="000000"/>
          <w:szCs w:val="24"/>
          <w:lang w:eastAsia="es-AR"/>
        </w:rPr>
        <w:t>3.377.654</w:t>
      </w:r>
      <w:r w:rsidRPr="00210A1B">
        <w:rPr>
          <w:szCs w:val="24"/>
        </w:rPr>
        <w:t xml:space="preserve">. Por otra parte, la cantidad de chicos menores de 18 años incluidos por las asignaciones familiares por hijo contributivas asciende a </w:t>
      </w:r>
      <w:r w:rsidR="00254A83">
        <w:rPr>
          <w:rFonts w:eastAsia="Times New Roman" w:cs="Times New Roman"/>
          <w:color w:val="000000"/>
          <w:szCs w:val="24"/>
          <w:lang w:eastAsia="es-AR"/>
        </w:rPr>
        <w:t xml:space="preserve">5,4 millones (incluyendo las </w:t>
      </w:r>
      <w:proofErr w:type="spellStart"/>
      <w:r w:rsidR="00254A83">
        <w:rPr>
          <w:rFonts w:eastAsia="Times New Roman" w:cs="Times New Roman"/>
          <w:color w:val="000000"/>
          <w:szCs w:val="24"/>
          <w:lang w:eastAsia="es-AR"/>
        </w:rPr>
        <w:t>aaff</w:t>
      </w:r>
      <w:proofErr w:type="spellEnd"/>
      <w:r w:rsidR="00254A83">
        <w:rPr>
          <w:rFonts w:eastAsia="Times New Roman" w:cs="Times New Roman"/>
          <w:color w:val="000000"/>
          <w:szCs w:val="24"/>
          <w:lang w:eastAsia="es-AR"/>
        </w:rPr>
        <w:t xml:space="preserve"> provinciales)</w:t>
      </w:r>
      <w:r w:rsidRPr="00210A1B">
        <w:rPr>
          <w:color w:val="000000"/>
          <w:szCs w:val="24"/>
          <w:lang w:eastAsia="es-ES_tradnl"/>
        </w:rPr>
        <w:t xml:space="preserve">. </w:t>
      </w:r>
      <w:r>
        <w:rPr>
          <w:color w:val="000000"/>
          <w:szCs w:val="24"/>
          <w:lang w:eastAsia="es-ES_tradnl"/>
        </w:rPr>
        <w:t>Asimismo</w:t>
      </w:r>
      <w:r w:rsidRPr="00210A1B">
        <w:rPr>
          <w:color w:val="000000"/>
          <w:szCs w:val="24"/>
          <w:lang w:eastAsia="es-ES_tradnl"/>
        </w:rPr>
        <w:t xml:space="preserve">, </w:t>
      </w:r>
      <w:r>
        <w:rPr>
          <w:color w:val="000000"/>
          <w:szCs w:val="24"/>
          <w:lang w:eastAsia="es-ES_tradnl"/>
        </w:rPr>
        <w:t>según nuestra estimación, la no actualización de ganancias mantendría la cantidad de chicos cubiertos a través de las deducciones por hijo</w:t>
      </w:r>
      <w:r w:rsidRPr="00210A1B">
        <w:rPr>
          <w:color w:val="000000"/>
          <w:szCs w:val="24"/>
          <w:lang w:eastAsia="es-ES_tradnl"/>
        </w:rPr>
        <w:t xml:space="preserve"> en torno a los 236.557. Considerando </w:t>
      </w:r>
      <w:r w:rsidR="00254A83">
        <w:rPr>
          <w:color w:val="000000"/>
          <w:szCs w:val="24"/>
          <w:lang w:eastAsia="es-ES_tradnl"/>
        </w:rPr>
        <w:t>además</w:t>
      </w:r>
      <w:r>
        <w:rPr>
          <w:color w:val="000000"/>
          <w:szCs w:val="24"/>
          <w:lang w:eastAsia="es-ES_tradnl"/>
        </w:rPr>
        <w:t xml:space="preserve"> a los menores de 18 cubiertos a través de las </w:t>
      </w:r>
      <w:r w:rsidRPr="00210A1B">
        <w:rPr>
          <w:color w:val="000000"/>
          <w:szCs w:val="24"/>
          <w:lang w:eastAsia="es-ES_tradnl"/>
        </w:rPr>
        <w:t xml:space="preserve">Pensiones No Contributivas para Madres de 7 o más hijos </w:t>
      </w:r>
      <w:r>
        <w:rPr>
          <w:color w:val="000000"/>
          <w:szCs w:val="24"/>
          <w:lang w:eastAsia="es-ES_tradnl"/>
        </w:rPr>
        <w:t xml:space="preserve"> y de Ciudadanía Porteña </w:t>
      </w:r>
      <w:r w:rsidRPr="00210A1B">
        <w:rPr>
          <w:color w:val="000000"/>
          <w:szCs w:val="24"/>
          <w:lang w:eastAsia="es-ES_tradnl"/>
        </w:rPr>
        <w:t>resulta que, la configuración del “</w:t>
      </w:r>
      <w:proofErr w:type="spellStart"/>
      <w:r w:rsidRPr="00210A1B">
        <w:rPr>
          <w:color w:val="000000"/>
          <w:szCs w:val="24"/>
          <w:lang w:eastAsia="es-ES_tradnl"/>
        </w:rPr>
        <w:t>pseudo</w:t>
      </w:r>
      <w:proofErr w:type="spellEnd"/>
      <w:r w:rsidRPr="00210A1B">
        <w:rPr>
          <w:color w:val="000000"/>
          <w:szCs w:val="24"/>
          <w:lang w:eastAsia="es-ES_tradnl"/>
        </w:rPr>
        <w:t xml:space="preserve">”-sistema de </w:t>
      </w:r>
      <w:r>
        <w:rPr>
          <w:color w:val="000000"/>
          <w:szCs w:val="24"/>
          <w:lang w:eastAsia="es-ES_tradnl"/>
        </w:rPr>
        <w:t>Protección Social</w:t>
      </w:r>
      <w:r w:rsidRPr="00210A1B">
        <w:rPr>
          <w:color w:val="000000"/>
          <w:szCs w:val="24"/>
          <w:lang w:eastAsia="es-ES_tradnl"/>
        </w:rPr>
        <w:t xml:space="preserve"> deja a </w:t>
      </w:r>
      <w:r>
        <w:rPr>
          <w:color w:val="000000"/>
          <w:szCs w:val="24"/>
          <w:lang w:eastAsia="es-ES_tradnl"/>
        </w:rPr>
        <w:t>más de 2,</w:t>
      </w:r>
      <w:r w:rsidR="00254A83">
        <w:rPr>
          <w:color w:val="000000"/>
          <w:szCs w:val="24"/>
          <w:lang w:eastAsia="es-ES_tradnl"/>
        </w:rPr>
        <w:t>8</w:t>
      </w:r>
      <w:r w:rsidRPr="00210A1B">
        <w:rPr>
          <w:szCs w:val="24"/>
        </w:rPr>
        <w:t xml:space="preserve"> millones </w:t>
      </w:r>
      <w:r>
        <w:rPr>
          <w:szCs w:val="24"/>
        </w:rPr>
        <w:t xml:space="preserve">de chicos excluidos </w:t>
      </w:r>
      <w:r w:rsidRPr="00210A1B">
        <w:rPr>
          <w:szCs w:val="24"/>
        </w:rPr>
        <w:t xml:space="preserve">de cualquier prestación a la niñez. </w:t>
      </w:r>
    </w:p>
    <w:p w:rsidR="0097229E" w:rsidRPr="00210A1B"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Default="0097229E" w:rsidP="0097229E">
      <w:pPr>
        <w:jc w:val="both"/>
        <w:rPr>
          <w:szCs w:val="24"/>
        </w:rPr>
      </w:pPr>
    </w:p>
    <w:p w:rsidR="0097229E" w:rsidRPr="0097229E" w:rsidRDefault="0097229E" w:rsidP="0097229E">
      <w:pPr>
        <w:jc w:val="both"/>
        <w:rPr>
          <w:szCs w:val="24"/>
        </w:rPr>
      </w:pPr>
      <w:r w:rsidRPr="00210A1B">
        <w:rPr>
          <w:szCs w:val="24"/>
        </w:rPr>
        <w:lastRenderedPageBreak/>
        <w:t xml:space="preserve">Cuadro Nº </w:t>
      </w:r>
      <w:r w:rsidR="00615343">
        <w:rPr>
          <w:szCs w:val="24"/>
        </w:rPr>
        <w:t>1</w:t>
      </w:r>
      <w:r w:rsidRPr="00210A1B">
        <w:rPr>
          <w:szCs w:val="24"/>
        </w:rPr>
        <w:t>: Cobertura del sistema de Asignaciones Familiares</w:t>
      </w:r>
      <w:r>
        <w:rPr>
          <w:szCs w:val="24"/>
        </w:rPr>
        <w:t>.</w:t>
      </w:r>
    </w:p>
    <w:tbl>
      <w:tblPr>
        <w:tblW w:w="6512" w:type="dxa"/>
        <w:jc w:val="center"/>
        <w:tblInd w:w="65" w:type="dxa"/>
        <w:tblCellMar>
          <w:left w:w="70" w:type="dxa"/>
          <w:right w:w="70" w:type="dxa"/>
        </w:tblCellMar>
        <w:tblLook w:val="04A0" w:firstRow="1" w:lastRow="0" w:firstColumn="1" w:lastColumn="0" w:noHBand="0" w:noVBand="1"/>
      </w:tblPr>
      <w:tblGrid>
        <w:gridCol w:w="4822"/>
        <w:gridCol w:w="1007"/>
        <w:gridCol w:w="683"/>
      </w:tblGrid>
      <w:tr w:rsidR="0097229E" w:rsidRPr="00263B35" w:rsidTr="0097229E">
        <w:trPr>
          <w:trHeight w:val="300"/>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000000" w:fill="0070C0"/>
            <w:vAlign w:val="bottom"/>
            <w:hideMark/>
          </w:tcPr>
          <w:p w:rsidR="0097229E" w:rsidRPr="00263B35" w:rsidRDefault="0097229E" w:rsidP="007865D1">
            <w:pPr>
              <w:jc w:val="center"/>
              <w:rPr>
                <w:rFonts w:ascii="Calibri" w:eastAsia="Times New Roman" w:hAnsi="Calibri" w:cs="Times New Roman"/>
                <w:color w:val="FFFFFF"/>
                <w:sz w:val="18"/>
                <w:szCs w:val="18"/>
                <w:lang w:eastAsia="es-AR"/>
              </w:rPr>
            </w:pPr>
            <w:r w:rsidRPr="00263B35">
              <w:rPr>
                <w:rFonts w:ascii="Calibri" w:eastAsia="Times New Roman" w:hAnsi="Calibri" w:cs="Times New Roman"/>
                <w:color w:val="FFFFFF"/>
                <w:sz w:val="18"/>
                <w:szCs w:val="18"/>
                <w:lang w:eastAsia="es-AR"/>
              </w:rPr>
              <w:t>TIPO DE COBERTURA</w:t>
            </w:r>
          </w:p>
        </w:tc>
        <w:tc>
          <w:tcPr>
            <w:tcW w:w="0" w:type="auto"/>
            <w:gridSpan w:val="2"/>
            <w:tcBorders>
              <w:top w:val="single" w:sz="4" w:space="0" w:color="auto"/>
              <w:left w:val="nil"/>
              <w:bottom w:val="single" w:sz="4" w:space="0" w:color="auto"/>
              <w:right w:val="single" w:sz="4" w:space="0" w:color="000000"/>
            </w:tcBorders>
            <w:shd w:val="clear" w:color="000000" w:fill="0070C0"/>
            <w:vAlign w:val="bottom"/>
            <w:hideMark/>
          </w:tcPr>
          <w:p w:rsidR="0097229E" w:rsidRPr="00263B35" w:rsidRDefault="0097229E" w:rsidP="007865D1">
            <w:pPr>
              <w:jc w:val="center"/>
              <w:rPr>
                <w:rFonts w:ascii="Calibri" w:eastAsia="Times New Roman" w:hAnsi="Calibri" w:cs="Times New Roman"/>
                <w:color w:val="FFFFFF"/>
                <w:sz w:val="18"/>
                <w:szCs w:val="18"/>
                <w:lang w:eastAsia="es-AR"/>
              </w:rPr>
            </w:pPr>
            <w:r w:rsidRPr="00263B35">
              <w:rPr>
                <w:rFonts w:ascii="Calibri" w:eastAsia="Times New Roman" w:hAnsi="Calibri" w:cs="Times New Roman"/>
                <w:color w:val="FFFFFF"/>
                <w:sz w:val="18"/>
                <w:szCs w:val="18"/>
                <w:lang w:eastAsia="es-AR"/>
              </w:rPr>
              <w:t>2015</w:t>
            </w:r>
          </w:p>
        </w:tc>
      </w:tr>
      <w:tr w:rsidR="0097229E" w:rsidRPr="00263B35" w:rsidTr="0097229E">
        <w:trPr>
          <w:trHeight w:val="30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7229E" w:rsidRPr="00263B35" w:rsidRDefault="0097229E" w:rsidP="007865D1">
            <w:pPr>
              <w:rPr>
                <w:rFonts w:ascii="Calibri" w:eastAsia="Times New Roman" w:hAnsi="Calibri" w:cs="Times New Roman"/>
                <w:color w:val="FFFFFF"/>
                <w:sz w:val="18"/>
                <w:szCs w:val="18"/>
                <w:lang w:eastAsia="es-AR"/>
              </w:rPr>
            </w:pPr>
          </w:p>
        </w:tc>
        <w:tc>
          <w:tcPr>
            <w:tcW w:w="0" w:type="auto"/>
            <w:tcBorders>
              <w:top w:val="nil"/>
              <w:left w:val="nil"/>
              <w:bottom w:val="single" w:sz="4" w:space="0" w:color="auto"/>
              <w:right w:val="single" w:sz="4" w:space="0" w:color="auto"/>
            </w:tcBorders>
            <w:shd w:val="clear" w:color="000000" w:fill="0070C0"/>
            <w:noWrap/>
            <w:vAlign w:val="bottom"/>
            <w:hideMark/>
          </w:tcPr>
          <w:p w:rsidR="0097229E" w:rsidRPr="00263B35" w:rsidRDefault="0097229E" w:rsidP="007865D1">
            <w:pPr>
              <w:jc w:val="center"/>
              <w:rPr>
                <w:rFonts w:ascii="Calibri" w:eastAsia="Times New Roman" w:hAnsi="Calibri" w:cs="Times New Roman"/>
                <w:color w:val="FFFFFF"/>
                <w:sz w:val="18"/>
                <w:szCs w:val="18"/>
                <w:lang w:eastAsia="es-AR"/>
              </w:rPr>
            </w:pPr>
            <w:r w:rsidRPr="00263B35">
              <w:rPr>
                <w:rFonts w:ascii="Calibri" w:eastAsia="Times New Roman" w:hAnsi="Calibri" w:cs="Times New Roman"/>
                <w:color w:val="FFFFFF"/>
                <w:sz w:val="18"/>
                <w:szCs w:val="18"/>
                <w:lang w:eastAsia="es-AR"/>
              </w:rPr>
              <w:t>POBLACIÓN</w:t>
            </w:r>
          </w:p>
        </w:tc>
        <w:tc>
          <w:tcPr>
            <w:tcW w:w="0" w:type="auto"/>
            <w:tcBorders>
              <w:top w:val="nil"/>
              <w:left w:val="nil"/>
              <w:bottom w:val="single" w:sz="4" w:space="0" w:color="auto"/>
              <w:right w:val="single" w:sz="4" w:space="0" w:color="auto"/>
            </w:tcBorders>
            <w:shd w:val="clear" w:color="000000" w:fill="0070C0"/>
            <w:noWrap/>
            <w:vAlign w:val="bottom"/>
            <w:hideMark/>
          </w:tcPr>
          <w:p w:rsidR="0097229E" w:rsidRPr="00263B35" w:rsidRDefault="0097229E" w:rsidP="007865D1">
            <w:pPr>
              <w:jc w:val="center"/>
              <w:rPr>
                <w:rFonts w:ascii="Calibri" w:eastAsia="Times New Roman" w:hAnsi="Calibri" w:cs="Times New Roman"/>
                <w:color w:val="FFFFFF"/>
                <w:sz w:val="18"/>
                <w:szCs w:val="18"/>
                <w:lang w:eastAsia="es-AR"/>
              </w:rPr>
            </w:pPr>
            <w:r>
              <w:rPr>
                <w:rFonts w:ascii="Calibri" w:eastAsia="Times New Roman" w:hAnsi="Calibri" w:cs="Times New Roman"/>
                <w:color w:val="FFFFFF"/>
                <w:sz w:val="18"/>
                <w:szCs w:val="18"/>
                <w:lang w:eastAsia="es-AR"/>
              </w:rPr>
              <w:t>%</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TOTAL MENORES DE 18 AÑOS</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12.953.329</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100,0%</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AAFF Nacionales *</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4.040.349</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31,2%</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Deducciones del Impuesto a las ganancias</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236.557</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1,8%</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AAFF Gobierno Provincial</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1.358.136</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10,5%</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Cobertura sub-TOTAL</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5.635.042</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43,5%</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AUH</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3.377.654</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26,1%</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Cobertura AAFF + AUH</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9.012.696</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69,6%</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000000" w:fill="D8D8D8"/>
            <w:noWrap/>
            <w:vAlign w:val="bottom"/>
            <w:hideMark/>
          </w:tcPr>
          <w:p w:rsidR="0097229E" w:rsidRPr="00263B35" w:rsidRDefault="0097229E" w:rsidP="007865D1">
            <w:pPr>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Excluidos del sistema de AAFF</w:t>
            </w:r>
          </w:p>
        </w:tc>
        <w:tc>
          <w:tcPr>
            <w:tcW w:w="0" w:type="auto"/>
            <w:tcBorders>
              <w:top w:val="nil"/>
              <w:left w:val="nil"/>
              <w:bottom w:val="single" w:sz="4" w:space="0" w:color="auto"/>
              <w:right w:val="single" w:sz="4" w:space="0" w:color="auto"/>
            </w:tcBorders>
            <w:shd w:val="clear" w:color="000000" w:fill="D8D8D8"/>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3.940.633</w:t>
            </w:r>
          </w:p>
        </w:tc>
        <w:tc>
          <w:tcPr>
            <w:tcW w:w="0" w:type="auto"/>
            <w:tcBorders>
              <w:top w:val="nil"/>
              <w:left w:val="nil"/>
              <w:bottom w:val="single" w:sz="4" w:space="0" w:color="auto"/>
              <w:right w:val="single" w:sz="4" w:space="0" w:color="auto"/>
            </w:tcBorders>
            <w:shd w:val="clear" w:color="000000" w:fill="D8D8D8"/>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30,4%</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Pensiones no contributivas para madres de 7 y más hijos</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1.027.791</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7,9%</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Ciudadanía Porteña (Mayo 2015)</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64.700</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color w:val="000000"/>
                <w:sz w:val="18"/>
                <w:szCs w:val="18"/>
                <w:lang w:eastAsia="es-AR"/>
              </w:rPr>
            </w:pPr>
            <w:r w:rsidRPr="00263B35">
              <w:rPr>
                <w:rFonts w:ascii="Calibri" w:eastAsia="Times New Roman" w:hAnsi="Calibri" w:cs="Times New Roman"/>
                <w:color w:val="000000"/>
                <w:sz w:val="18"/>
                <w:szCs w:val="18"/>
                <w:lang w:eastAsia="es-AR"/>
              </w:rPr>
              <w:t>0,5%</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7229E" w:rsidRPr="00263B35" w:rsidRDefault="0097229E" w:rsidP="007865D1">
            <w:pPr>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Cobertura Total AAFF + AUH + Pensiones + Ciudadanía Porteña</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10.105.187</w:t>
            </w:r>
          </w:p>
        </w:tc>
        <w:tc>
          <w:tcPr>
            <w:tcW w:w="0" w:type="auto"/>
            <w:tcBorders>
              <w:top w:val="nil"/>
              <w:left w:val="nil"/>
              <w:bottom w:val="single" w:sz="4" w:space="0" w:color="auto"/>
              <w:right w:val="single" w:sz="4" w:space="0" w:color="auto"/>
            </w:tcBorders>
            <w:shd w:val="clear" w:color="auto" w:fill="auto"/>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78,0%</w:t>
            </w:r>
          </w:p>
        </w:tc>
      </w:tr>
      <w:tr w:rsidR="0097229E" w:rsidRPr="00263B35" w:rsidTr="0097229E">
        <w:trPr>
          <w:trHeight w:val="300"/>
          <w:jc w:val="center"/>
        </w:trPr>
        <w:tc>
          <w:tcPr>
            <w:tcW w:w="0" w:type="auto"/>
            <w:tcBorders>
              <w:top w:val="nil"/>
              <w:left w:val="single" w:sz="4" w:space="0" w:color="auto"/>
              <w:bottom w:val="single" w:sz="4" w:space="0" w:color="auto"/>
              <w:right w:val="single" w:sz="4" w:space="0" w:color="auto"/>
            </w:tcBorders>
            <w:shd w:val="clear" w:color="000000" w:fill="D8D8D8"/>
            <w:noWrap/>
            <w:vAlign w:val="bottom"/>
            <w:hideMark/>
          </w:tcPr>
          <w:p w:rsidR="0097229E" w:rsidRPr="00263B35" w:rsidRDefault="0097229E" w:rsidP="007865D1">
            <w:pPr>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TOTAL DE EXCLUIDOS DE LA PROTECCIÓN SOCIAL</w:t>
            </w:r>
          </w:p>
        </w:tc>
        <w:tc>
          <w:tcPr>
            <w:tcW w:w="0" w:type="auto"/>
            <w:tcBorders>
              <w:top w:val="nil"/>
              <w:left w:val="nil"/>
              <w:bottom w:val="single" w:sz="4" w:space="0" w:color="auto"/>
              <w:right w:val="single" w:sz="4" w:space="0" w:color="auto"/>
            </w:tcBorders>
            <w:shd w:val="clear" w:color="000000" w:fill="D8D8D8"/>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2.848.143</w:t>
            </w:r>
          </w:p>
        </w:tc>
        <w:tc>
          <w:tcPr>
            <w:tcW w:w="0" w:type="auto"/>
            <w:tcBorders>
              <w:top w:val="nil"/>
              <w:left w:val="nil"/>
              <w:bottom w:val="single" w:sz="4" w:space="0" w:color="auto"/>
              <w:right w:val="single" w:sz="4" w:space="0" w:color="auto"/>
            </w:tcBorders>
            <w:shd w:val="clear" w:color="000000" w:fill="D8D8D8"/>
            <w:noWrap/>
            <w:vAlign w:val="bottom"/>
            <w:hideMark/>
          </w:tcPr>
          <w:p w:rsidR="0097229E" w:rsidRPr="00263B35" w:rsidRDefault="0097229E" w:rsidP="007865D1">
            <w:pPr>
              <w:jc w:val="right"/>
              <w:rPr>
                <w:rFonts w:ascii="Calibri" w:eastAsia="Times New Roman" w:hAnsi="Calibri" w:cs="Times New Roman"/>
                <w:b/>
                <w:bCs/>
                <w:color w:val="000000"/>
                <w:sz w:val="18"/>
                <w:szCs w:val="18"/>
                <w:lang w:eastAsia="es-AR"/>
              </w:rPr>
            </w:pPr>
            <w:r w:rsidRPr="00263B35">
              <w:rPr>
                <w:rFonts w:ascii="Calibri" w:eastAsia="Times New Roman" w:hAnsi="Calibri" w:cs="Times New Roman"/>
                <w:b/>
                <w:bCs/>
                <w:color w:val="000000"/>
                <w:sz w:val="18"/>
                <w:szCs w:val="18"/>
                <w:lang w:eastAsia="es-AR"/>
              </w:rPr>
              <w:t>22,0%</w:t>
            </w:r>
          </w:p>
        </w:tc>
      </w:tr>
    </w:tbl>
    <w:p w:rsidR="0097229E" w:rsidRPr="00772D65" w:rsidRDefault="0097229E" w:rsidP="0097229E">
      <w:pPr>
        <w:jc w:val="center"/>
        <w:rPr>
          <w:sz w:val="20"/>
          <w:szCs w:val="20"/>
        </w:rPr>
      </w:pPr>
      <w:r w:rsidRPr="00772D65">
        <w:rPr>
          <w:sz w:val="20"/>
          <w:szCs w:val="20"/>
        </w:rPr>
        <w:t>* Incluye las Asignaciones Familiares correspondiente al personal del Gobierno Nacional</w:t>
      </w:r>
    </w:p>
    <w:p w:rsidR="0097229E" w:rsidRPr="00772D65" w:rsidRDefault="0097229E" w:rsidP="0097229E">
      <w:pPr>
        <w:jc w:val="center"/>
        <w:rPr>
          <w:color w:val="000000"/>
          <w:sz w:val="20"/>
          <w:szCs w:val="20"/>
        </w:rPr>
      </w:pPr>
      <w:r w:rsidRPr="00772D65">
        <w:rPr>
          <w:color w:val="000000"/>
          <w:sz w:val="20"/>
          <w:szCs w:val="20"/>
        </w:rPr>
        <w:t xml:space="preserve">Fuente: Elaboración propia en base a Censo 2010, Proyecto de presupuesto </w:t>
      </w:r>
      <w:r>
        <w:rPr>
          <w:color w:val="000000"/>
          <w:sz w:val="20"/>
          <w:szCs w:val="20"/>
        </w:rPr>
        <w:t>2016</w:t>
      </w:r>
      <w:r w:rsidRPr="00772D65">
        <w:rPr>
          <w:color w:val="000000"/>
          <w:sz w:val="20"/>
          <w:szCs w:val="20"/>
        </w:rPr>
        <w:t xml:space="preserve">, Respuesta AFIP </w:t>
      </w:r>
      <w:proofErr w:type="spellStart"/>
      <w:r w:rsidRPr="00772D65">
        <w:rPr>
          <w:color w:val="000000"/>
          <w:sz w:val="20"/>
          <w:szCs w:val="20"/>
        </w:rPr>
        <w:t>Sigea</w:t>
      </w:r>
      <w:proofErr w:type="spellEnd"/>
      <w:r w:rsidRPr="00772D65">
        <w:rPr>
          <w:color w:val="000000"/>
          <w:sz w:val="20"/>
          <w:szCs w:val="20"/>
        </w:rPr>
        <w:t xml:space="preserve"> 13289 25428/2011-1, Informe </w:t>
      </w:r>
      <w:proofErr w:type="spellStart"/>
      <w:r w:rsidRPr="00772D65">
        <w:rPr>
          <w:color w:val="000000"/>
          <w:sz w:val="20"/>
          <w:szCs w:val="20"/>
        </w:rPr>
        <w:t>Ciepyc</w:t>
      </w:r>
      <w:proofErr w:type="spellEnd"/>
      <w:r w:rsidRPr="00772D65">
        <w:rPr>
          <w:color w:val="000000"/>
          <w:sz w:val="20"/>
          <w:szCs w:val="20"/>
        </w:rPr>
        <w:t xml:space="preserve"> 2009, Informe de Evaluación de Ciudadanía Porteña, </w:t>
      </w:r>
      <w:r>
        <w:rPr>
          <w:color w:val="000000"/>
          <w:sz w:val="20"/>
          <w:szCs w:val="20"/>
        </w:rPr>
        <w:t>Mayo</w:t>
      </w:r>
      <w:r w:rsidRPr="00772D65">
        <w:rPr>
          <w:color w:val="000000"/>
          <w:sz w:val="20"/>
          <w:szCs w:val="20"/>
        </w:rPr>
        <w:t xml:space="preserve"> 201</w:t>
      </w:r>
      <w:r>
        <w:rPr>
          <w:color w:val="000000"/>
          <w:sz w:val="20"/>
          <w:szCs w:val="20"/>
        </w:rPr>
        <w:t>5.</w:t>
      </w:r>
    </w:p>
    <w:p w:rsidR="0097229E" w:rsidRPr="00210A1B" w:rsidRDefault="0097229E" w:rsidP="0097229E">
      <w:pPr>
        <w:jc w:val="both"/>
        <w:rPr>
          <w:szCs w:val="24"/>
        </w:rPr>
      </w:pPr>
    </w:p>
    <w:p w:rsidR="0097229E" w:rsidRPr="00210A1B" w:rsidRDefault="0097229E" w:rsidP="0097229E">
      <w:pPr>
        <w:jc w:val="both"/>
        <w:rPr>
          <w:szCs w:val="24"/>
        </w:rPr>
      </w:pPr>
    </w:p>
    <w:p w:rsidR="0097229E" w:rsidRDefault="0097229E" w:rsidP="0097229E">
      <w:pPr>
        <w:pStyle w:val="Prrafodelista"/>
        <w:numPr>
          <w:ilvl w:val="0"/>
          <w:numId w:val="1"/>
        </w:numPr>
        <w:jc w:val="both"/>
        <w:rPr>
          <w:szCs w:val="24"/>
        </w:rPr>
      </w:pPr>
      <w:r w:rsidRPr="000D37FB">
        <w:rPr>
          <w:b/>
          <w:i/>
          <w:szCs w:val="24"/>
        </w:rPr>
        <w:t>Plantea un tratamiento discriminador</w:t>
      </w:r>
      <w:r w:rsidRPr="000D37FB">
        <w:rPr>
          <w:szCs w:val="24"/>
        </w:rPr>
        <w:t xml:space="preserve"> </w:t>
      </w:r>
      <w:r>
        <w:rPr>
          <w:szCs w:val="24"/>
        </w:rPr>
        <w:t xml:space="preserve">en tanto </w:t>
      </w:r>
      <w:r w:rsidR="00254A83">
        <w:rPr>
          <w:szCs w:val="24"/>
        </w:rPr>
        <w:t xml:space="preserve">el carácter fragmentado y heterogéneo del régimen vigente de AAFF genera que </w:t>
      </w:r>
      <w:r>
        <w:rPr>
          <w:szCs w:val="24"/>
        </w:rPr>
        <w:t>los niños, niñas y adolescentes acced</w:t>
      </w:r>
      <w:r w:rsidR="00254A83">
        <w:rPr>
          <w:szCs w:val="24"/>
        </w:rPr>
        <w:t>a</w:t>
      </w:r>
      <w:r>
        <w:rPr>
          <w:szCs w:val="24"/>
        </w:rPr>
        <w:t>n a distintos valores según la categoría ocupacional de sus padres</w:t>
      </w:r>
      <w:r w:rsidR="00254A83">
        <w:rPr>
          <w:szCs w:val="24"/>
        </w:rPr>
        <w:t>, los tramos de ingresos, la zona en la que residan y los distintos regímenes provinciales y municipales, así como también por el propio diseño de la AUH</w:t>
      </w:r>
      <w:r>
        <w:rPr>
          <w:szCs w:val="24"/>
        </w:rPr>
        <w:t xml:space="preserve">. </w:t>
      </w:r>
      <w:r w:rsidR="00254A83">
        <w:rPr>
          <w:szCs w:val="24"/>
        </w:rPr>
        <w:t>En primer lugar</w:t>
      </w:r>
      <w:r>
        <w:rPr>
          <w:szCs w:val="24"/>
        </w:rPr>
        <w:t xml:space="preserve">, a los receptores de la AUH se les retiene todos los meses el 20% del valor transferido, el cual se les entrega una vez al año al constatarse que hayan cumplido con las condicionalidades en materia de salud y educación. Este tratamiento paternalista de carácter punitorio no opera en el segmento contributivo por lo cual, </w:t>
      </w:r>
      <w:r w:rsidR="00254A83">
        <w:rPr>
          <w:szCs w:val="24"/>
        </w:rPr>
        <w:t>actualmente</w:t>
      </w:r>
      <w:r>
        <w:rPr>
          <w:szCs w:val="24"/>
        </w:rPr>
        <w:t>, los hijos de los trabajadores formales recibirán $837 mensuales mientras los chicos cubiertos por la AUH recibirán $669.</w:t>
      </w:r>
    </w:p>
    <w:p w:rsidR="00254A83" w:rsidRPr="00254A83" w:rsidRDefault="00254A83" w:rsidP="00254A83">
      <w:pPr>
        <w:pStyle w:val="Prrafodelista"/>
        <w:jc w:val="both"/>
        <w:rPr>
          <w:szCs w:val="24"/>
        </w:rPr>
      </w:pPr>
      <w:r>
        <w:rPr>
          <w:szCs w:val="24"/>
        </w:rPr>
        <w:t xml:space="preserve">Por otra parte, </w:t>
      </w:r>
      <w:r w:rsidR="00D70A16">
        <w:rPr>
          <w:szCs w:val="24"/>
        </w:rPr>
        <w:t xml:space="preserve">el régimen vigente de las AAFF contributivas establece montos diferenciados según tramos de ingresos y zona de residencia, que a su vez se diferencian del segmento no contributivo (AUH y AUE), </w:t>
      </w:r>
      <w:r w:rsidR="00D70A16">
        <w:t>acentuando la desigualdad</w:t>
      </w:r>
      <w:r w:rsidR="00550CC1">
        <w:t>:</w:t>
      </w:r>
    </w:p>
    <w:p w:rsidR="00254A83" w:rsidRDefault="00254A83" w:rsidP="00254A83">
      <w:pPr>
        <w:jc w:val="both"/>
      </w:pPr>
    </w:p>
    <w:p w:rsidR="00D70A16" w:rsidRDefault="00D70A16" w:rsidP="00254A83">
      <w:pPr>
        <w:jc w:val="both"/>
      </w:pPr>
    </w:p>
    <w:p w:rsidR="00D70A16" w:rsidRDefault="00D70A16" w:rsidP="00254A83">
      <w:pPr>
        <w:jc w:val="both"/>
      </w:pPr>
    </w:p>
    <w:p w:rsidR="00D70A16" w:rsidRDefault="00D70A16" w:rsidP="00254A83">
      <w:pPr>
        <w:jc w:val="both"/>
      </w:pPr>
    </w:p>
    <w:p w:rsidR="00D70A16" w:rsidRDefault="00D70A16" w:rsidP="00254A83">
      <w:pPr>
        <w:jc w:val="both"/>
      </w:pPr>
    </w:p>
    <w:p w:rsidR="00D70A16" w:rsidRDefault="00D70A16" w:rsidP="00254A83">
      <w:pPr>
        <w:jc w:val="both"/>
      </w:pPr>
    </w:p>
    <w:p w:rsidR="00D70A16" w:rsidRDefault="00D70A16" w:rsidP="00254A83">
      <w:pPr>
        <w:jc w:val="both"/>
      </w:pPr>
    </w:p>
    <w:p w:rsidR="00D70A16" w:rsidRDefault="00D70A16" w:rsidP="00254A83">
      <w:pPr>
        <w:jc w:val="both"/>
      </w:pPr>
    </w:p>
    <w:p w:rsidR="00D70A16" w:rsidRDefault="00D70A16" w:rsidP="00254A83">
      <w:pPr>
        <w:jc w:val="both"/>
      </w:pPr>
    </w:p>
    <w:p w:rsidR="00254A83" w:rsidRDefault="00254A83" w:rsidP="00254A83">
      <w:pPr>
        <w:jc w:val="both"/>
      </w:pPr>
    </w:p>
    <w:p w:rsidR="00254A83" w:rsidRDefault="00254A83" w:rsidP="00254A83">
      <w:pPr>
        <w:jc w:val="both"/>
      </w:pPr>
    </w:p>
    <w:p w:rsidR="00254A83" w:rsidRDefault="007966F6" w:rsidP="00254A83">
      <w:pPr>
        <w:jc w:val="both"/>
      </w:pPr>
      <w:r>
        <w:rPr>
          <w:noProof/>
          <w:lang w:val="es-ES"/>
        </w:rPr>
        <w:pict>
          <v:shapetype id="_x0000_t202" coordsize="21600,21600" o:spt="202" path="m,l,21600r21600,l21600,xe">
            <v:stroke joinstyle="miter"/>
            <v:path gradientshapeok="t" o:connecttype="rect"/>
          </v:shapetype>
          <v:shape id="_x0000_s1026" type="#_x0000_t202" style="position:absolute;left:0;text-align:left;margin-left:-2.95pt;margin-top:-8.6pt;width:444.4pt;height:402.75pt;z-index:251660288;mso-width-relative:margin;mso-height-relative:margin">
            <v:textbox style="mso-next-textbox:#_x0000_s1026">
              <w:txbxContent>
                <w:p w:rsidR="00615343" w:rsidRDefault="00615343" w:rsidP="00254A83">
                  <w:pPr>
                    <w:jc w:val="both"/>
                  </w:pPr>
                </w:p>
                <w:p w:rsidR="00615343" w:rsidRPr="00685466" w:rsidRDefault="00615343" w:rsidP="00254A83">
                  <w:pPr>
                    <w:pStyle w:val="Prrafodelista"/>
                    <w:numPr>
                      <w:ilvl w:val="0"/>
                      <w:numId w:val="2"/>
                    </w:numPr>
                    <w:jc w:val="both"/>
                    <w:rPr>
                      <w:i/>
                      <w:sz w:val="20"/>
                      <w:szCs w:val="20"/>
                    </w:rPr>
                  </w:pPr>
                  <w:r w:rsidRPr="00685466">
                    <w:rPr>
                      <w:i/>
                      <w:sz w:val="20"/>
                      <w:szCs w:val="20"/>
                    </w:rPr>
                    <w:t>Segmento no contributivo</w:t>
                  </w:r>
                </w:p>
                <w:p w:rsidR="00615343" w:rsidRPr="00685466" w:rsidRDefault="00615343" w:rsidP="00254A83">
                  <w:pPr>
                    <w:jc w:val="both"/>
                    <w:rPr>
                      <w:sz w:val="20"/>
                      <w:szCs w:val="20"/>
                    </w:rPr>
                  </w:pPr>
                </w:p>
                <w:p w:rsidR="00615343" w:rsidRPr="00685466" w:rsidRDefault="00615343" w:rsidP="00254A83">
                  <w:pPr>
                    <w:jc w:val="both"/>
                    <w:rPr>
                      <w:sz w:val="20"/>
                      <w:szCs w:val="20"/>
                    </w:rPr>
                  </w:pPr>
                  <w:r w:rsidRPr="00685466">
                    <w:rPr>
                      <w:sz w:val="20"/>
                      <w:szCs w:val="20"/>
                    </w:rPr>
                    <w:t xml:space="preserve">Cuadro Nº </w:t>
                  </w:r>
                  <w:r>
                    <w:rPr>
                      <w:sz w:val="20"/>
                      <w:szCs w:val="20"/>
                    </w:rPr>
                    <w:t>2</w:t>
                  </w:r>
                  <w:r w:rsidRPr="00685466">
                    <w:rPr>
                      <w:sz w:val="20"/>
                      <w:szCs w:val="20"/>
                    </w:rPr>
                    <w:t>: Montos percibidos por los receptores de la AUH y AUE según zona.</w:t>
                  </w:r>
                </w:p>
                <w:tbl>
                  <w:tblPr>
                    <w:tblW w:w="3005" w:type="dxa"/>
                    <w:jc w:val="center"/>
                    <w:tblInd w:w="65" w:type="dxa"/>
                    <w:tblCellMar>
                      <w:left w:w="70" w:type="dxa"/>
                      <w:right w:w="70" w:type="dxa"/>
                    </w:tblCellMar>
                    <w:tblLook w:val="04A0" w:firstRow="1" w:lastRow="0" w:firstColumn="1" w:lastColumn="0" w:noHBand="0" w:noVBand="1"/>
                  </w:tblPr>
                  <w:tblGrid>
                    <w:gridCol w:w="1805"/>
                    <w:gridCol w:w="1200"/>
                  </w:tblGrid>
                  <w:tr w:rsidR="00615343" w:rsidRPr="00685466" w:rsidTr="007865D1">
                    <w:trPr>
                      <w:trHeight w:val="300"/>
                      <w:jc w:val="center"/>
                    </w:trPr>
                    <w:tc>
                      <w:tcPr>
                        <w:tcW w:w="1805"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615343" w:rsidRPr="00685466" w:rsidRDefault="00615343" w:rsidP="007865D1">
                        <w:pPr>
                          <w:jc w:val="center"/>
                          <w:rPr>
                            <w:rFonts w:ascii="Calibri" w:eastAsia="Times New Roman" w:hAnsi="Calibri" w:cs="Times New Roman"/>
                            <w:color w:val="FFFFFF"/>
                            <w:sz w:val="20"/>
                            <w:szCs w:val="20"/>
                            <w:lang w:eastAsia="es-AR"/>
                          </w:rPr>
                        </w:pPr>
                        <w:r w:rsidRPr="00685466">
                          <w:rPr>
                            <w:rFonts w:ascii="Calibri" w:eastAsia="Times New Roman" w:hAnsi="Calibri" w:cs="Times New Roman"/>
                            <w:color w:val="FFFFFF"/>
                            <w:sz w:val="20"/>
                            <w:szCs w:val="20"/>
                            <w:lang w:eastAsia="es-AR"/>
                          </w:rPr>
                          <w:t> </w:t>
                        </w:r>
                      </w:p>
                    </w:tc>
                    <w:tc>
                      <w:tcPr>
                        <w:tcW w:w="1200" w:type="dxa"/>
                        <w:tcBorders>
                          <w:top w:val="single" w:sz="4" w:space="0" w:color="auto"/>
                          <w:left w:val="nil"/>
                          <w:bottom w:val="single" w:sz="4" w:space="0" w:color="auto"/>
                          <w:right w:val="single" w:sz="4" w:space="0" w:color="auto"/>
                        </w:tcBorders>
                        <w:shd w:val="clear" w:color="000000" w:fill="0070C0"/>
                        <w:noWrap/>
                        <w:vAlign w:val="bottom"/>
                        <w:hideMark/>
                      </w:tcPr>
                      <w:p w:rsidR="00615343" w:rsidRPr="00685466" w:rsidRDefault="00615343" w:rsidP="007865D1">
                        <w:pPr>
                          <w:jc w:val="center"/>
                          <w:rPr>
                            <w:rFonts w:ascii="Calibri" w:eastAsia="Times New Roman" w:hAnsi="Calibri" w:cs="Times New Roman"/>
                            <w:color w:val="FFFFFF"/>
                            <w:sz w:val="20"/>
                            <w:szCs w:val="20"/>
                            <w:lang w:eastAsia="es-AR"/>
                          </w:rPr>
                        </w:pPr>
                        <w:r w:rsidRPr="00685466">
                          <w:rPr>
                            <w:rFonts w:ascii="Calibri" w:eastAsia="Times New Roman" w:hAnsi="Calibri" w:cs="Times New Roman"/>
                            <w:color w:val="FFFFFF"/>
                            <w:sz w:val="20"/>
                            <w:szCs w:val="20"/>
                            <w:lang w:eastAsia="es-AR"/>
                          </w:rPr>
                          <w:t>AUH y AUE</w:t>
                        </w:r>
                      </w:p>
                    </w:tc>
                  </w:tr>
                  <w:tr w:rsidR="00615343" w:rsidRPr="00685466" w:rsidTr="007865D1">
                    <w:trPr>
                      <w:trHeight w:val="300"/>
                      <w:jc w:val="center"/>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615343" w:rsidRPr="00685466" w:rsidRDefault="00615343" w:rsidP="007865D1">
                        <w:pPr>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Valor General</w:t>
                        </w:r>
                      </w:p>
                    </w:tc>
                    <w:tc>
                      <w:tcPr>
                        <w:tcW w:w="1200"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837</w:t>
                        </w:r>
                      </w:p>
                    </w:tc>
                  </w:tr>
                  <w:tr w:rsidR="00615343" w:rsidRPr="00685466" w:rsidTr="007865D1">
                    <w:trPr>
                      <w:trHeight w:val="300"/>
                      <w:jc w:val="center"/>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615343" w:rsidRPr="00685466" w:rsidRDefault="00615343" w:rsidP="007865D1">
                        <w:pPr>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Zona "Patagonia"</w:t>
                        </w:r>
                      </w:p>
                    </w:tc>
                    <w:tc>
                      <w:tcPr>
                        <w:tcW w:w="1200"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1.088</w:t>
                        </w:r>
                      </w:p>
                    </w:tc>
                  </w:tr>
                </w:tbl>
                <w:p w:rsidR="00615343" w:rsidRPr="00685466" w:rsidRDefault="00615343" w:rsidP="00254A83">
                  <w:pPr>
                    <w:jc w:val="both"/>
                    <w:rPr>
                      <w:sz w:val="20"/>
                      <w:szCs w:val="20"/>
                    </w:rPr>
                  </w:pPr>
                </w:p>
                <w:p w:rsidR="00615343" w:rsidRPr="00685466" w:rsidRDefault="00615343" w:rsidP="00254A83">
                  <w:pPr>
                    <w:jc w:val="both"/>
                    <w:rPr>
                      <w:sz w:val="20"/>
                      <w:szCs w:val="20"/>
                    </w:rPr>
                  </w:pPr>
                  <w:r w:rsidRPr="00685466">
                    <w:rPr>
                      <w:sz w:val="20"/>
                      <w:szCs w:val="20"/>
                    </w:rPr>
                    <w:t>Definiendo como “zona Patagonia” a las provincias de La Pampa, Río Negro, Chubut, Neuquén, Santa Cruz, Tierra del Fuego, Antártida e Islas del Atlántico Sur y el partido de Patagones de la provincia de Buenos Aires.</w:t>
                  </w:r>
                </w:p>
                <w:p w:rsidR="00615343" w:rsidRPr="00685466" w:rsidRDefault="00615343" w:rsidP="00254A83">
                  <w:pPr>
                    <w:jc w:val="both"/>
                    <w:rPr>
                      <w:i/>
                      <w:sz w:val="20"/>
                      <w:szCs w:val="20"/>
                    </w:rPr>
                  </w:pPr>
                </w:p>
                <w:p w:rsidR="00615343" w:rsidRPr="00685466" w:rsidRDefault="00615343" w:rsidP="00254A83">
                  <w:pPr>
                    <w:pStyle w:val="Prrafodelista"/>
                    <w:numPr>
                      <w:ilvl w:val="0"/>
                      <w:numId w:val="2"/>
                    </w:numPr>
                    <w:jc w:val="both"/>
                    <w:rPr>
                      <w:i/>
                      <w:sz w:val="20"/>
                      <w:szCs w:val="20"/>
                    </w:rPr>
                  </w:pPr>
                  <w:r w:rsidRPr="00685466">
                    <w:rPr>
                      <w:i/>
                      <w:sz w:val="20"/>
                      <w:szCs w:val="20"/>
                    </w:rPr>
                    <w:t>Segmento contributivo</w:t>
                  </w:r>
                </w:p>
                <w:p w:rsidR="00615343" w:rsidRPr="00685466" w:rsidRDefault="00615343" w:rsidP="00254A83">
                  <w:pPr>
                    <w:jc w:val="both"/>
                    <w:rPr>
                      <w:sz w:val="20"/>
                      <w:szCs w:val="20"/>
                    </w:rPr>
                  </w:pPr>
                </w:p>
                <w:p w:rsidR="00615343" w:rsidRPr="00685466" w:rsidRDefault="00615343" w:rsidP="00254A83">
                  <w:pPr>
                    <w:jc w:val="both"/>
                    <w:rPr>
                      <w:sz w:val="20"/>
                      <w:szCs w:val="20"/>
                    </w:rPr>
                  </w:pPr>
                  <w:r w:rsidRPr="00685466">
                    <w:rPr>
                      <w:sz w:val="20"/>
                      <w:szCs w:val="20"/>
                    </w:rPr>
                    <w:t xml:space="preserve">Cuadro Nº </w:t>
                  </w:r>
                  <w:r>
                    <w:rPr>
                      <w:sz w:val="20"/>
                      <w:szCs w:val="20"/>
                    </w:rPr>
                    <w:t>3</w:t>
                  </w:r>
                  <w:r w:rsidRPr="00685466">
                    <w:rPr>
                      <w:sz w:val="20"/>
                      <w:szCs w:val="20"/>
                    </w:rPr>
                    <w:t>:</w:t>
                  </w:r>
                  <w:r>
                    <w:rPr>
                      <w:sz w:val="20"/>
                      <w:szCs w:val="20"/>
                    </w:rPr>
                    <w:t xml:space="preserve"> </w:t>
                  </w:r>
                  <w:r w:rsidRPr="00685466">
                    <w:rPr>
                      <w:sz w:val="20"/>
                      <w:szCs w:val="20"/>
                    </w:rPr>
                    <w:t>Montos percibidos por los receptores de la Asignación por Hijo y la Asignación Prenatal según zona y tramo de ingresos.</w:t>
                  </w:r>
                </w:p>
                <w:tbl>
                  <w:tblPr>
                    <w:tblW w:w="7016" w:type="dxa"/>
                    <w:jc w:val="center"/>
                    <w:tblInd w:w="-356" w:type="dxa"/>
                    <w:tblCellMar>
                      <w:left w:w="70" w:type="dxa"/>
                      <w:right w:w="70" w:type="dxa"/>
                    </w:tblCellMar>
                    <w:tblLook w:val="04A0" w:firstRow="1" w:lastRow="0" w:firstColumn="1" w:lastColumn="0" w:noHBand="0" w:noVBand="1"/>
                  </w:tblPr>
                  <w:tblGrid>
                    <w:gridCol w:w="2412"/>
                    <w:gridCol w:w="1200"/>
                    <w:gridCol w:w="851"/>
                    <w:gridCol w:w="851"/>
                    <w:gridCol w:w="851"/>
                    <w:gridCol w:w="851"/>
                  </w:tblGrid>
                  <w:tr w:rsidR="00615343" w:rsidRPr="00685466" w:rsidTr="007865D1">
                    <w:trPr>
                      <w:trHeight w:val="300"/>
                      <w:jc w:val="center"/>
                    </w:trPr>
                    <w:tc>
                      <w:tcPr>
                        <w:tcW w:w="2412"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615343" w:rsidRPr="00685466" w:rsidRDefault="00615343" w:rsidP="007865D1">
                        <w:pPr>
                          <w:jc w:val="center"/>
                          <w:rPr>
                            <w:rFonts w:ascii="Calibri" w:eastAsia="Times New Roman" w:hAnsi="Calibri" w:cs="Times New Roman"/>
                            <w:color w:val="FFFFFF"/>
                            <w:sz w:val="20"/>
                            <w:szCs w:val="20"/>
                            <w:lang w:eastAsia="es-AR"/>
                          </w:rPr>
                        </w:pPr>
                        <w:r w:rsidRPr="00685466">
                          <w:rPr>
                            <w:rFonts w:ascii="Calibri" w:eastAsia="Times New Roman" w:hAnsi="Calibri" w:cs="Times New Roman"/>
                            <w:color w:val="FFFFFF"/>
                            <w:sz w:val="20"/>
                            <w:szCs w:val="20"/>
                            <w:lang w:eastAsia="es-AR"/>
                          </w:rPr>
                          <w:t> </w:t>
                        </w:r>
                      </w:p>
                    </w:tc>
                    <w:tc>
                      <w:tcPr>
                        <w:tcW w:w="1200" w:type="dxa"/>
                        <w:tcBorders>
                          <w:top w:val="single" w:sz="4" w:space="0" w:color="auto"/>
                          <w:left w:val="nil"/>
                          <w:bottom w:val="single" w:sz="4" w:space="0" w:color="auto"/>
                          <w:right w:val="single" w:sz="4" w:space="0" w:color="auto"/>
                        </w:tcBorders>
                        <w:shd w:val="clear" w:color="000000" w:fill="0070C0"/>
                        <w:noWrap/>
                        <w:vAlign w:val="bottom"/>
                        <w:hideMark/>
                      </w:tcPr>
                      <w:p w:rsidR="00615343" w:rsidRPr="00685466" w:rsidRDefault="00615343" w:rsidP="007865D1">
                        <w:pPr>
                          <w:jc w:val="center"/>
                          <w:rPr>
                            <w:rFonts w:ascii="Calibri" w:eastAsia="Times New Roman" w:hAnsi="Calibri" w:cs="Times New Roman"/>
                            <w:color w:val="FFFFFF"/>
                            <w:sz w:val="20"/>
                            <w:szCs w:val="20"/>
                            <w:lang w:eastAsia="es-AR"/>
                          </w:rPr>
                        </w:pPr>
                        <w:r w:rsidRPr="00685466">
                          <w:rPr>
                            <w:rFonts w:ascii="Calibri" w:eastAsia="Times New Roman" w:hAnsi="Calibri" w:cs="Times New Roman"/>
                            <w:color w:val="FFFFFF"/>
                            <w:sz w:val="20"/>
                            <w:szCs w:val="20"/>
                            <w:lang w:eastAsia="es-AR"/>
                          </w:rPr>
                          <w:t>Valor Gral.</w:t>
                        </w:r>
                      </w:p>
                    </w:tc>
                    <w:tc>
                      <w:tcPr>
                        <w:tcW w:w="851" w:type="dxa"/>
                        <w:tcBorders>
                          <w:top w:val="single" w:sz="4" w:space="0" w:color="auto"/>
                          <w:left w:val="nil"/>
                          <w:bottom w:val="single" w:sz="4" w:space="0" w:color="auto"/>
                          <w:right w:val="single" w:sz="4" w:space="0" w:color="auto"/>
                        </w:tcBorders>
                        <w:shd w:val="clear" w:color="000000" w:fill="0070C0"/>
                        <w:noWrap/>
                        <w:vAlign w:val="bottom"/>
                        <w:hideMark/>
                      </w:tcPr>
                      <w:p w:rsidR="00615343" w:rsidRPr="00685466" w:rsidRDefault="00615343" w:rsidP="007865D1">
                        <w:pPr>
                          <w:jc w:val="center"/>
                          <w:rPr>
                            <w:rFonts w:ascii="Calibri" w:eastAsia="Times New Roman" w:hAnsi="Calibri" w:cs="Times New Roman"/>
                            <w:color w:val="FFFFFF"/>
                            <w:sz w:val="20"/>
                            <w:szCs w:val="20"/>
                            <w:lang w:eastAsia="es-AR"/>
                          </w:rPr>
                        </w:pPr>
                        <w:r w:rsidRPr="00685466">
                          <w:rPr>
                            <w:rFonts w:ascii="Calibri" w:eastAsia="Times New Roman" w:hAnsi="Calibri" w:cs="Times New Roman"/>
                            <w:color w:val="FFFFFF"/>
                            <w:sz w:val="20"/>
                            <w:szCs w:val="20"/>
                            <w:lang w:eastAsia="es-AR"/>
                          </w:rPr>
                          <w:t>Zona 1</w:t>
                        </w:r>
                      </w:p>
                    </w:tc>
                    <w:tc>
                      <w:tcPr>
                        <w:tcW w:w="851" w:type="dxa"/>
                        <w:tcBorders>
                          <w:top w:val="single" w:sz="4" w:space="0" w:color="auto"/>
                          <w:left w:val="nil"/>
                          <w:bottom w:val="single" w:sz="4" w:space="0" w:color="auto"/>
                          <w:right w:val="single" w:sz="4" w:space="0" w:color="auto"/>
                        </w:tcBorders>
                        <w:shd w:val="clear" w:color="000000" w:fill="0070C0"/>
                        <w:noWrap/>
                        <w:vAlign w:val="bottom"/>
                        <w:hideMark/>
                      </w:tcPr>
                      <w:p w:rsidR="00615343" w:rsidRPr="00685466" w:rsidRDefault="00615343" w:rsidP="007865D1">
                        <w:pPr>
                          <w:jc w:val="center"/>
                          <w:rPr>
                            <w:rFonts w:ascii="Calibri" w:eastAsia="Times New Roman" w:hAnsi="Calibri" w:cs="Times New Roman"/>
                            <w:color w:val="FFFFFF"/>
                            <w:sz w:val="20"/>
                            <w:szCs w:val="20"/>
                            <w:lang w:eastAsia="es-AR"/>
                          </w:rPr>
                        </w:pPr>
                        <w:r w:rsidRPr="00685466">
                          <w:rPr>
                            <w:rFonts w:ascii="Calibri" w:eastAsia="Times New Roman" w:hAnsi="Calibri" w:cs="Times New Roman"/>
                            <w:color w:val="FFFFFF"/>
                            <w:sz w:val="20"/>
                            <w:szCs w:val="20"/>
                            <w:lang w:eastAsia="es-AR"/>
                          </w:rPr>
                          <w:t>Zona 2</w:t>
                        </w:r>
                      </w:p>
                    </w:tc>
                    <w:tc>
                      <w:tcPr>
                        <w:tcW w:w="851" w:type="dxa"/>
                        <w:tcBorders>
                          <w:top w:val="single" w:sz="4" w:space="0" w:color="auto"/>
                          <w:left w:val="nil"/>
                          <w:bottom w:val="single" w:sz="4" w:space="0" w:color="auto"/>
                          <w:right w:val="single" w:sz="4" w:space="0" w:color="auto"/>
                        </w:tcBorders>
                        <w:shd w:val="clear" w:color="000000" w:fill="0070C0"/>
                        <w:noWrap/>
                        <w:vAlign w:val="bottom"/>
                        <w:hideMark/>
                      </w:tcPr>
                      <w:p w:rsidR="00615343" w:rsidRPr="00685466" w:rsidRDefault="00615343" w:rsidP="007865D1">
                        <w:pPr>
                          <w:jc w:val="center"/>
                          <w:rPr>
                            <w:rFonts w:ascii="Calibri" w:eastAsia="Times New Roman" w:hAnsi="Calibri" w:cs="Times New Roman"/>
                            <w:color w:val="FFFFFF"/>
                            <w:sz w:val="20"/>
                            <w:szCs w:val="20"/>
                            <w:lang w:eastAsia="es-AR"/>
                          </w:rPr>
                        </w:pPr>
                        <w:r w:rsidRPr="00685466">
                          <w:rPr>
                            <w:rFonts w:ascii="Calibri" w:eastAsia="Times New Roman" w:hAnsi="Calibri" w:cs="Times New Roman"/>
                            <w:color w:val="FFFFFF"/>
                            <w:sz w:val="20"/>
                            <w:szCs w:val="20"/>
                            <w:lang w:eastAsia="es-AR"/>
                          </w:rPr>
                          <w:t>Zona 3</w:t>
                        </w:r>
                      </w:p>
                    </w:tc>
                    <w:tc>
                      <w:tcPr>
                        <w:tcW w:w="851" w:type="dxa"/>
                        <w:tcBorders>
                          <w:top w:val="single" w:sz="4" w:space="0" w:color="auto"/>
                          <w:left w:val="nil"/>
                          <w:bottom w:val="single" w:sz="4" w:space="0" w:color="auto"/>
                          <w:right w:val="single" w:sz="4" w:space="0" w:color="auto"/>
                        </w:tcBorders>
                        <w:shd w:val="clear" w:color="000000" w:fill="0070C0"/>
                        <w:noWrap/>
                        <w:vAlign w:val="bottom"/>
                        <w:hideMark/>
                      </w:tcPr>
                      <w:p w:rsidR="00615343" w:rsidRPr="00685466" w:rsidRDefault="00615343" w:rsidP="007865D1">
                        <w:pPr>
                          <w:jc w:val="center"/>
                          <w:rPr>
                            <w:rFonts w:ascii="Calibri" w:eastAsia="Times New Roman" w:hAnsi="Calibri" w:cs="Times New Roman"/>
                            <w:color w:val="FFFFFF"/>
                            <w:sz w:val="20"/>
                            <w:szCs w:val="20"/>
                            <w:lang w:eastAsia="es-AR"/>
                          </w:rPr>
                        </w:pPr>
                        <w:r w:rsidRPr="00685466">
                          <w:rPr>
                            <w:rFonts w:ascii="Calibri" w:eastAsia="Times New Roman" w:hAnsi="Calibri" w:cs="Times New Roman"/>
                            <w:color w:val="FFFFFF"/>
                            <w:sz w:val="20"/>
                            <w:szCs w:val="20"/>
                            <w:lang w:eastAsia="es-AR"/>
                          </w:rPr>
                          <w:t>Zona 4</w:t>
                        </w:r>
                      </w:p>
                    </w:tc>
                  </w:tr>
                  <w:tr w:rsidR="00615343" w:rsidRPr="00685466" w:rsidTr="007865D1">
                    <w:trPr>
                      <w:trHeight w:val="300"/>
                      <w:jc w:val="center"/>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615343" w:rsidRPr="00685466" w:rsidRDefault="00615343" w:rsidP="007865D1">
                        <w:pPr>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Grupo I: hasta $7.500</w:t>
                        </w:r>
                      </w:p>
                    </w:tc>
                    <w:tc>
                      <w:tcPr>
                        <w:tcW w:w="1200"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837</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837</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1.806</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1.674</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1.806</w:t>
                        </w:r>
                      </w:p>
                    </w:tc>
                  </w:tr>
                  <w:tr w:rsidR="00615343" w:rsidRPr="00685466" w:rsidTr="007865D1">
                    <w:trPr>
                      <w:trHeight w:val="300"/>
                      <w:jc w:val="center"/>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615343" w:rsidRPr="00685466" w:rsidRDefault="00615343" w:rsidP="007865D1">
                        <w:pPr>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Grupo II: hasta $9.800</w:t>
                        </w:r>
                      </w:p>
                    </w:tc>
                    <w:tc>
                      <w:tcPr>
                        <w:tcW w:w="1200"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562</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744</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1.117</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1.486</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1.486</w:t>
                        </w:r>
                      </w:p>
                    </w:tc>
                  </w:tr>
                  <w:tr w:rsidR="00615343" w:rsidRPr="00685466" w:rsidTr="007865D1">
                    <w:trPr>
                      <w:trHeight w:val="300"/>
                      <w:jc w:val="center"/>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615343" w:rsidRPr="00685466" w:rsidRDefault="00615343" w:rsidP="007865D1">
                        <w:pPr>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Grupo III: hasta $12.700</w:t>
                        </w:r>
                      </w:p>
                    </w:tc>
                    <w:tc>
                      <w:tcPr>
                        <w:tcW w:w="1200"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338</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670</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1.008</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1.342</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1.342</w:t>
                        </w:r>
                      </w:p>
                    </w:tc>
                  </w:tr>
                  <w:tr w:rsidR="00615343" w:rsidRPr="00685466" w:rsidTr="007865D1">
                    <w:trPr>
                      <w:trHeight w:val="300"/>
                      <w:jc w:val="center"/>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615343" w:rsidRPr="00685466" w:rsidRDefault="00615343" w:rsidP="007865D1">
                        <w:pPr>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Grupo IV: hasta $30.000</w:t>
                        </w:r>
                      </w:p>
                    </w:tc>
                    <w:tc>
                      <w:tcPr>
                        <w:tcW w:w="1200"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172</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342</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514</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680</w:t>
                        </w:r>
                      </w:p>
                    </w:tc>
                    <w:tc>
                      <w:tcPr>
                        <w:tcW w:w="851" w:type="dxa"/>
                        <w:tcBorders>
                          <w:top w:val="nil"/>
                          <w:left w:val="nil"/>
                          <w:bottom w:val="single" w:sz="4" w:space="0" w:color="auto"/>
                          <w:right w:val="single" w:sz="4" w:space="0" w:color="auto"/>
                        </w:tcBorders>
                        <w:shd w:val="clear" w:color="auto" w:fill="auto"/>
                        <w:noWrap/>
                        <w:vAlign w:val="bottom"/>
                        <w:hideMark/>
                      </w:tcPr>
                      <w:p w:rsidR="00615343" w:rsidRPr="00685466" w:rsidRDefault="00615343" w:rsidP="007865D1">
                        <w:pPr>
                          <w:jc w:val="right"/>
                          <w:rPr>
                            <w:rFonts w:ascii="Calibri" w:eastAsia="Times New Roman" w:hAnsi="Calibri" w:cs="Times New Roman"/>
                            <w:color w:val="000000"/>
                            <w:sz w:val="20"/>
                            <w:szCs w:val="20"/>
                            <w:lang w:eastAsia="es-AR"/>
                          </w:rPr>
                        </w:pPr>
                        <w:r w:rsidRPr="00685466">
                          <w:rPr>
                            <w:rFonts w:ascii="Calibri" w:eastAsia="Times New Roman" w:hAnsi="Calibri" w:cs="Times New Roman"/>
                            <w:color w:val="000000"/>
                            <w:sz w:val="20"/>
                            <w:szCs w:val="20"/>
                            <w:lang w:eastAsia="es-AR"/>
                          </w:rPr>
                          <w:t>680</w:t>
                        </w:r>
                      </w:p>
                    </w:tc>
                  </w:tr>
                </w:tbl>
                <w:p w:rsidR="00615343" w:rsidRPr="00685466" w:rsidRDefault="00615343" w:rsidP="00254A83">
                  <w:pPr>
                    <w:jc w:val="both"/>
                    <w:rPr>
                      <w:sz w:val="20"/>
                      <w:szCs w:val="20"/>
                    </w:rPr>
                  </w:pPr>
                </w:p>
                <w:p w:rsidR="00615343" w:rsidRPr="00685466" w:rsidRDefault="00615343" w:rsidP="00254A83">
                  <w:pPr>
                    <w:jc w:val="both"/>
                    <w:rPr>
                      <w:sz w:val="20"/>
                      <w:szCs w:val="20"/>
                    </w:rPr>
                  </w:pPr>
                  <w:r w:rsidRPr="00685466">
                    <w:rPr>
                      <w:sz w:val="20"/>
                      <w:szCs w:val="20"/>
                    </w:rPr>
                    <w:t>Siendo que:</w:t>
                  </w:r>
                </w:p>
                <w:p w:rsidR="00615343" w:rsidRPr="00685466" w:rsidRDefault="00615343" w:rsidP="00254A83">
                  <w:pPr>
                    <w:pStyle w:val="Prrafodelista"/>
                    <w:numPr>
                      <w:ilvl w:val="0"/>
                      <w:numId w:val="3"/>
                    </w:numPr>
                    <w:jc w:val="both"/>
                    <w:rPr>
                      <w:sz w:val="20"/>
                      <w:szCs w:val="20"/>
                    </w:rPr>
                  </w:pPr>
                  <w:r w:rsidRPr="00685466">
                    <w:rPr>
                      <w:sz w:val="20"/>
                      <w:szCs w:val="20"/>
                    </w:rPr>
                    <w:t>Zona 1: Formosa, La Pampa, Mendoza, Neuquén, Río Negro y Salta (Orán).</w:t>
                  </w:r>
                </w:p>
                <w:p w:rsidR="00615343" w:rsidRPr="00685466" w:rsidRDefault="00615343" w:rsidP="00254A83">
                  <w:pPr>
                    <w:pStyle w:val="Prrafodelista"/>
                    <w:numPr>
                      <w:ilvl w:val="0"/>
                      <w:numId w:val="3"/>
                    </w:numPr>
                    <w:jc w:val="both"/>
                    <w:rPr>
                      <w:sz w:val="20"/>
                      <w:szCs w:val="20"/>
                    </w:rPr>
                  </w:pPr>
                  <w:r w:rsidRPr="00685466">
                    <w:rPr>
                      <w:sz w:val="20"/>
                      <w:szCs w:val="20"/>
                    </w:rPr>
                    <w:t>Zona 2: Chubut</w:t>
                  </w:r>
                </w:p>
                <w:p w:rsidR="00615343" w:rsidRPr="00685466" w:rsidRDefault="00615343" w:rsidP="00254A83">
                  <w:pPr>
                    <w:pStyle w:val="Prrafodelista"/>
                    <w:numPr>
                      <w:ilvl w:val="0"/>
                      <w:numId w:val="3"/>
                    </w:numPr>
                    <w:jc w:val="both"/>
                    <w:rPr>
                      <w:sz w:val="20"/>
                      <w:szCs w:val="20"/>
                    </w:rPr>
                  </w:pPr>
                  <w:r w:rsidRPr="00685466">
                    <w:rPr>
                      <w:sz w:val="20"/>
                      <w:szCs w:val="20"/>
                    </w:rPr>
                    <w:t>Zona 3: Catamarca, Jujuy, Salta, Santa Cruz, Tierra del Fuego</w:t>
                  </w:r>
                </w:p>
                <w:p w:rsidR="00615343" w:rsidRPr="00D70A16" w:rsidRDefault="00615343" w:rsidP="00254A83">
                  <w:pPr>
                    <w:pStyle w:val="Prrafodelista"/>
                    <w:numPr>
                      <w:ilvl w:val="0"/>
                      <w:numId w:val="3"/>
                    </w:numPr>
                    <w:jc w:val="both"/>
                    <w:rPr>
                      <w:sz w:val="20"/>
                      <w:szCs w:val="20"/>
                    </w:rPr>
                  </w:pPr>
                  <w:r w:rsidRPr="00685466">
                    <w:rPr>
                      <w:sz w:val="20"/>
                      <w:szCs w:val="20"/>
                    </w:rPr>
                    <w:t>Zona 4: Santa Cruz y Tierra del Fuego, Antártida e Islas del Atlántico Sur.</w:t>
                  </w:r>
                </w:p>
              </w:txbxContent>
            </v:textbox>
          </v:shape>
        </w:pict>
      </w: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254A83" w:rsidRDefault="00254A83" w:rsidP="00254A83">
      <w:pPr>
        <w:jc w:val="both"/>
      </w:pPr>
    </w:p>
    <w:p w:rsidR="00550CC1" w:rsidRPr="00550CC1" w:rsidRDefault="00254A83" w:rsidP="00550CC1">
      <w:pPr>
        <w:jc w:val="both"/>
      </w:pPr>
      <w:r>
        <w:t>A ello debe sumarse que tampoco se han hecho en estos años intentos por integrar el régimen nacional de AAFF con los diversos regímenes provinciales y municipales que plantean montos y criterios diferentes, configurando un esquema desigual que esconde por detrás la concepción de que</w:t>
      </w:r>
      <w:r w:rsidR="005D7717">
        <w:t xml:space="preserve"> </w:t>
      </w:r>
      <w:r>
        <w:t>no todos los chicos valen lo mismo.</w:t>
      </w:r>
      <w:r w:rsidR="00550CC1">
        <w:t xml:space="preserve"> </w:t>
      </w:r>
      <w:r w:rsidR="00550CC1" w:rsidRPr="00550CC1">
        <w:t>A modo de ejemplo se expone el siguiente cuadro, donde pueden observarse los montos de las asignaciones familiares para los trabajadores públicos provinciales, en los casos de aquellas provincias para la cual hay información disponible, dejando en evidencia las profundas diferencias con el régimen nacional. A ello hay que sumarle que también los municipios presentan en muchos casos valores diferentes a los provinciales, los cuales pueden ser considerablemente inferiores.</w:t>
      </w:r>
    </w:p>
    <w:p w:rsidR="00254A83" w:rsidRDefault="00254A83" w:rsidP="00254A83">
      <w:pPr>
        <w:jc w:val="both"/>
      </w:pPr>
    </w:p>
    <w:p w:rsidR="00254A83" w:rsidRDefault="00254A83" w:rsidP="00254A83">
      <w:pPr>
        <w:jc w:val="both"/>
      </w:pPr>
    </w:p>
    <w:p w:rsidR="00254A83" w:rsidRDefault="00254A83" w:rsidP="00254A83">
      <w:pPr>
        <w:jc w:val="both"/>
        <w:rPr>
          <w:szCs w:val="24"/>
        </w:rPr>
      </w:pPr>
    </w:p>
    <w:p w:rsidR="00550CC1" w:rsidRDefault="00550CC1" w:rsidP="00254A83">
      <w:pPr>
        <w:jc w:val="both"/>
        <w:rPr>
          <w:szCs w:val="24"/>
        </w:rPr>
      </w:pPr>
    </w:p>
    <w:p w:rsidR="00550CC1" w:rsidRDefault="00550CC1" w:rsidP="00254A83">
      <w:pPr>
        <w:jc w:val="both"/>
        <w:rPr>
          <w:szCs w:val="24"/>
        </w:rPr>
      </w:pPr>
    </w:p>
    <w:p w:rsidR="00550CC1" w:rsidRDefault="00550CC1" w:rsidP="00254A83">
      <w:pPr>
        <w:jc w:val="both"/>
        <w:rPr>
          <w:szCs w:val="24"/>
        </w:rPr>
      </w:pPr>
    </w:p>
    <w:p w:rsidR="00550CC1" w:rsidRDefault="00550CC1" w:rsidP="00550CC1">
      <w:pPr>
        <w:jc w:val="both"/>
      </w:pPr>
      <w:r>
        <w:lastRenderedPageBreak/>
        <w:t xml:space="preserve">Cuadro N° </w:t>
      </w:r>
      <w:r w:rsidR="00615343">
        <w:t>4</w:t>
      </w:r>
      <w:r>
        <w:t>: Montos de las asignaciones por hijo según regímenes provinciales seleccionados</w:t>
      </w:r>
      <w:r w:rsidR="00615343">
        <w:t xml:space="preserve"> (últimos datos relevados)</w:t>
      </w:r>
      <w:r>
        <w:t>.</w:t>
      </w:r>
    </w:p>
    <w:tbl>
      <w:tblPr>
        <w:tblW w:w="5346" w:type="dxa"/>
        <w:jc w:val="center"/>
        <w:tblInd w:w="-214" w:type="dxa"/>
        <w:tblCellMar>
          <w:left w:w="70" w:type="dxa"/>
          <w:right w:w="70" w:type="dxa"/>
        </w:tblCellMar>
        <w:tblLook w:val="04A0" w:firstRow="1" w:lastRow="0" w:firstColumn="1" w:lastColumn="0" w:noHBand="0" w:noVBand="1"/>
      </w:tblPr>
      <w:tblGrid>
        <w:gridCol w:w="1746"/>
        <w:gridCol w:w="1200"/>
        <w:gridCol w:w="1200"/>
        <w:gridCol w:w="1200"/>
      </w:tblGrid>
      <w:tr w:rsidR="00550CC1" w:rsidRPr="00550CC1" w:rsidTr="00550CC1">
        <w:trPr>
          <w:trHeight w:val="600"/>
          <w:jc w:val="center"/>
        </w:trPr>
        <w:tc>
          <w:tcPr>
            <w:tcW w:w="1746"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550CC1" w:rsidRPr="00550CC1" w:rsidRDefault="00550CC1" w:rsidP="00550CC1">
            <w:pPr>
              <w:jc w:val="center"/>
              <w:rPr>
                <w:rFonts w:ascii="Calibri" w:eastAsia="Times New Roman" w:hAnsi="Calibri" w:cs="Times New Roman"/>
                <w:color w:val="FFFFFF"/>
                <w:sz w:val="20"/>
                <w:szCs w:val="20"/>
                <w:lang w:eastAsia="es-AR"/>
              </w:rPr>
            </w:pPr>
            <w:r w:rsidRPr="00550CC1">
              <w:rPr>
                <w:rFonts w:ascii="Calibri" w:eastAsia="Times New Roman" w:hAnsi="Calibri" w:cs="Times New Roman"/>
                <w:color w:val="FFFFFF"/>
                <w:sz w:val="20"/>
                <w:szCs w:val="20"/>
                <w:lang w:eastAsia="es-AR"/>
              </w:rPr>
              <w:t> </w:t>
            </w:r>
          </w:p>
        </w:tc>
        <w:tc>
          <w:tcPr>
            <w:tcW w:w="1200" w:type="dxa"/>
            <w:tcBorders>
              <w:top w:val="single" w:sz="4" w:space="0" w:color="auto"/>
              <w:left w:val="nil"/>
              <w:bottom w:val="single" w:sz="4" w:space="0" w:color="auto"/>
              <w:right w:val="single" w:sz="4" w:space="0" w:color="auto"/>
            </w:tcBorders>
            <w:shd w:val="clear" w:color="000000" w:fill="0070C0"/>
            <w:noWrap/>
            <w:vAlign w:val="bottom"/>
            <w:hideMark/>
          </w:tcPr>
          <w:p w:rsidR="00550CC1" w:rsidRPr="00550CC1" w:rsidRDefault="00550CC1" w:rsidP="00550CC1">
            <w:pPr>
              <w:jc w:val="center"/>
              <w:rPr>
                <w:rFonts w:ascii="Calibri" w:eastAsia="Times New Roman" w:hAnsi="Calibri" w:cs="Times New Roman"/>
                <w:color w:val="FFFFFF"/>
                <w:sz w:val="20"/>
                <w:szCs w:val="20"/>
                <w:lang w:eastAsia="es-AR"/>
              </w:rPr>
            </w:pPr>
            <w:r w:rsidRPr="00550CC1">
              <w:rPr>
                <w:rFonts w:ascii="Calibri" w:eastAsia="Times New Roman" w:hAnsi="Calibri" w:cs="Times New Roman"/>
                <w:color w:val="FFFFFF"/>
                <w:sz w:val="20"/>
                <w:szCs w:val="20"/>
                <w:lang w:eastAsia="es-AR"/>
              </w:rPr>
              <w:t>Provincial</w:t>
            </w:r>
          </w:p>
        </w:tc>
        <w:tc>
          <w:tcPr>
            <w:tcW w:w="1200" w:type="dxa"/>
            <w:tcBorders>
              <w:top w:val="single" w:sz="4" w:space="0" w:color="auto"/>
              <w:left w:val="nil"/>
              <w:bottom w:val="single" w:sz="4" w:space="0" w:color="auto"/>
              <w:right w:val="single" w:sz="4" w:space="0" w:color="auto"/>
            </w:tcBorders>
            <w:shd w:val="clear" w:color="000000" w:fill="0070C0"/>
            <w:noWrap/>
            <w:vAlign w:val="bottom"/>
            <w:hideMark/>
          </w:tcPr>
          <w:p w:rsidR="00550CC1" w:rsidRPr="00550CC1" w:rsidRDefault="00550CC1" w:rsidP="00550CC1">
            <w:pPr>
              <w:jc w:val="center"/>
              <w:rPr>
                <w:rFonts w:ascii="Calibri" w:eastAsia="Times New Roman" w:hAnsi="Calibri" w:cs="Times New Roman"/>
                <w:color w:val="FFFFFF"/>
                <w:sz w:val="20"/>
                <w:szCs w:val="20"/>
                <w:lang w:eastAsia="es-AR"/>
              </w:rPr>
            </w:pPr>
            <w:r w:rsidRPr="00550CC1">
              <w:rPr>
                <w:rFonts w:ascii="Calibri" w:eastAsia="Times New Roman" w:hAnsi="Calibri" w:cs="Times New Roman"/>
                <w:color w:val="FFFFFF"/>
                <w:sz w:val="20"/>
                <w:szCs w:val="20"/>
                <w:lang w:eastAsia="es-AR"/>
              </w:rPr>
              <w:t>Nacional</w:t>
            </w:r>
          </w:p>
        </w:tc>
        <w:tc>
          <w:tcPr>
            <w:tcW w:w="1200" w:type="dxa"/>
            <w:tcBorders>
              <w:top w:val="single" w:sz="4" w:space="0" w:color="auto"/>
              <w:left w:val="nil"/>
              <w:bottom w:val="single" w:sz="4" w:space="0" w:color="auto"/>
              <w:right w:val="single" w:sz="4" w:space="0" w:color="auto"/>
            </w:tcBorders>
            <w:shd w:val="clear" w:color="000000" w:fill="0070C0"/>
            <w:noWrap/>
            <w:vAlign w:val="bottom"/>
            <w:hideMark/>
          </w:tcPr>
          <w:p w:rsidR="00550CC1" w:rsidRPr="00550CC1" w:rsidRDefault="00550CC1" w:rsidP="00550CC1">
            <w:pPr>
              <w:jc w:val="center"/>
              <w:rPr>
                <w:rFonts w:ascii="Calibri" w:eastAsia="Times New Roman" w:hAnsi="Calibri" w:cs="Times New Roman"/>
                <w:color w:val="FFFFFF"/>
                <w:sz w:val="20"/>
                <w:szCs w:val="20"/>
                <w:lang w:eastAsia="es-AR"/>
              </w:rPr>
            </w:pPr>
            <w:r w:rsidRPr="00550CC1">
              <w:rPr>
                <w:rFonts w:ascii="Calibri" w:eastAsia="Times New Roman" w:hAnsi="Calibri" w:cs="Times New Roman"/>
                <w:color w:val="FFFFFF"/>
                <w:sz w:val="20"/>
                <w:szCs w:val="20"/>
                <w:lang w:eastAsia="es-AR"/>
              </w:rPr>
              <w:t>Año</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La Rioja</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90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2012</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Salta</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132</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2012</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Mendoza</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140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2012</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Formosa</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2012</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Jujuy</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220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2012</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Neuquén</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220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2012</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Chubut</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310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2012</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Santa Cruz</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388</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2012</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Tierra del Fuego</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540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2012</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Catamarca</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60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644</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2014</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Santa Fe</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260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644</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2014</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CABA</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270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644</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2014</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Misiones</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424</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644</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2014</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Chaco</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450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644</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2014</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San Juan</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490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644</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2014</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Río Negro</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450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837</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2015</w:t>
            </w:r>
          </w:p>
        </w:tc>
      </w:tr>
      <w:tr w:rsidR="00550CC1" w:rsidRPr="00550CC1" w:rsidTr="00550CC1">
        <w:trPr>
          <w:trHeight w:val="300"/>
          <w:jc w:val="center"/>
        </w:trPr>
        <w:tc>
          <w:tcPr>
            <w:tcW w:w="1746" w:type="dxa"/>
            <w:tcBorders>
              <w:top w:val="nil"/>
              <w:left w:val="single" w:sz="4" w:space="0" w:color="auto"/>
              <w:bottom w:val="single" w:sz="4" w:space="0" w:color="auto"/>
              <w:right w:val="single" w:sz="4" w:space="0" w:color="auto"/>
            </w:tcBorders>
            <w:shd w:val="clear" w:color="auto" w:fill="auto"/>
            <w:noWrap/>
            <w:vAlign w:val="bottom"/>
            <w:hideMark/>
          </w:tcPr>
          <w:p w:rsidR="00550CC1" w:rsidRPr="00550CC1" w:rsidRDefault="00550CC1" w:rsidP="00550CC1">
            <w:pPr>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Córdoba</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540</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837</w:t>
            </w:r>
          </w:p>
        </w:tc>
        <w:tc>
          <w:tcPr>
            <w:tcW w:w="1200" w:type="dxa"/>
            <w:tcBorders>
              <w:top w:val="nil"/>
              <w:left w:val="nil"/>
              <w:bottom w:val="single" w:sz="4" w:space="0" w:color="auto"/>
              <w:right w:val="single" w:sz="4" w:space="0" w:color="auto"/>
            </w:tcBorders>
            <w:shd w:val="clear" w:color="auto" w:fill="auto"/>
            <w:noWrap/>
            <w:vAlign w:val="bottom"/>
            <w:hideMark/>
          </w:tcPr>
          <w:p w:rsidR="00550CC1" w:rsidRPr="00550CC1" w:rsidRDefault="00550CC1" w:rsidP="00550CC1">
            <w:pPr>
              <w:jc w:val="right"/>
              <w:rPr>
                <w:rFonts w:ascii="Calibri" w:eastAsia="Times New Roman" w:hAnsi="Calibri" w:cs="Times New Roman"/>
                <w:color w:val="000000"/>
                <w:sz w:val="20"/>
                <w:szCs w:val="20"/>
                <w:lang w:eastAsia="es-AR"/>
              </w:rPr>
            </w:pPr>
            <w:r w:rsidRPr="00550CC1">
              <w:rPr>
                <w:rFonts w:ascii="Calibri" w:eastAsia="Times New Roman" w:hAnsi="Calibri" w:cs="Times New Roman"/>
                <w:color w:val="000000"/>
                <w:sz w:val="20"/>
                <w:szCs w:val="20"/>
                <w:lang w:eastAsia="es-AR"/>
              </w:rPr>
              <w:t>2015</w:t>
            </w:r>
          </w:p>
        </w:tc>
      </w:tr>
    </w:tbl>
    <w:p w:rsidR="00550CC1" w:rsidRPr="008B29E6" w:rsidRDefault="00550CC1" w:rsidP="00550CC1">
      <w:pPr>
        <w:jc w:val="center"/>
        <w:rPr>
          <w:sz w:val="20"/>
          <w:szCs w:val="20"/>
        </w:rPr>
      </w:pPr>
      <w:r>
        <w:rPr>
          <w:sz w:val="20"/>
          <w:szCs w:val="20"/>
        </w:rPr>
        <w:t>Fuente: Elaboración propia en base a relevamiento periodístico.</w:t>
      </w:r>
    </w:p>
    <w:p w:rsidR="00D70A16" w:rsidRPr="00254A83" w:rsidRDefault="00D70A16" w:rsidP="00254A83">
      <w:pPr>
        <w:jc w:val="both"/>
        <w:rPr>
          <w:szCs w:val="24"/>
        </w:rPr>
      </w:pPr>
    </w:p>
    <w:p w:rsidR="0097229E" w:rsidRPr="000D37FB" w:rsidRDefault="0097229E" w:rsidP="0097229E">
      <w:pPr>
        <w:pStyle w:val="Prrafodelista"/>
        <w:jc w:val="both"/>
        <w:rPr>
          <w:szCs w:val="24"/>
        </w:rPr>
      </w:pPr>
    </w:p>
    <w:p w:rsidR="0097229E" w:rsidRPr="00210A1B" w:rsidRDefault="0097229E" w:rsidP="0097229E">
      <w:pPr>
        <w:pStyle w:val="Prrafodelista"/>
        <w:numPr>
          <w:ilvl w:val="0"/>
          <w:numId w:val="1"/>
        </w:numPr>
        <w:jc w:val="both"/>
        <w:rPr>
          <w:szCs w:val="24"/>
        </w:rPr>
      </w:pPr>
      <w:r>
        <w:rPr>
          <w:szCs w:val="24"/>
        </w:rPr>
        <w:t>E</w:t>
      </w:r>
      <w:r w:rsidRPr="00210A1B">
        <w:rPr>
          <w:szCs w:val="24"/>
        </w:rPr>
        <w:t>n términos de inclusión social (no sólo al sistema de asignaciones familiares) los ingresos no son suficiente</w:t>
      </w:r>
      <w:r>
        <w:rPr>
          <w:szCs w:val="24"/>
        </w:rPr>
        <w:t>s</w:t>
      </w:r>
      <w:r w:rsidRPr="00210A1B">
        <w:rPr>
          <w:szCs w:val="24"/>
        </w:rPr>
        <w:t xml:space="preserve"> para asegurar el acceso a los bienes básicos por dos motivos, desde el inicio de la medida se procuró que el nivel transferido por la AUH fuera inferior a la canasta de alimentos para una familia, de allí surge la limitación al 5to hijo, ya que este era el límite a partir del cual la acumulación de asignaciones superaba el valor de la canasta</w:t>
      </w:r>
      <w:r w:rsidRPr="00210A1B">
        <w:rPr>
          <w:rStyle w:val="Refdenotaalpie"/>
          <w:szCs w:val="24"/>
        </w:rPr>
        <w:footnoteReference w:id="1"/>
      </w:r>
      <w:r w:rsidRPr="00210A1B">
        <w:rPr>
          <w:szCs w:val="24"/>
        </w:rPr>
        <w:t xml:space="preserve">. Por otra parte, la AUH no está integrada a una estrategia de carácter universal que permita asegurar ingresos y garantías al conjunto de los hogares y por lo tanto, en ella recae prácticamente el grueso de la responsabilidad de dar respuesta a los sectores más desprotegidos </w:t>
      </w:r>
      <w:r>
        <w:rPr>
          <w:szCs w:val="24"/>
        </w:rPr>
        <w:t xml:space="preserve">por lo </w:t>
      </w:r>
      <w:r w:rsidRPr="00210A1B">
        <w:rPr>
          <w:szCs w:val="24"/>
        </w:rPr>
        <w:t xml:space="preserve">que lógicamente, sin un replanteo integral del sistema en su conjunto, la misma </w:t>
      </w:r>
      <w:r>
        <w:rPr>
          <w:szCs w:val="24"/>
        </w:rPr>
        <w:t>termina siendo</w:t>
      </w:r>
      <w:r w:rsidRPr="00210A1B">
        <w:rPr>
          <w:szCs w:val="24"/>
        </w:rPr>
        <w:t xml:space="preserve"> insuficiente. </w:t>
      </w:r>
    </w:p>
    <w:p w:rsidR="0097229E" w:rsidRPr="00550CC1" w:rsidRDefault="0097229E" w:rsidP="00550CC1">
      <w:pPr>
        <w:rPr>
          <w:szCs w:val="24"/>
        </w:rPr>
      </w:pPr>
    </w:p>
    <w:p w:rsidR="002F569C" w:rsidRDefault="002F569C"/>
    <w:p w:rsidR="00906B73" w:rsidRDefault="00906B73"/>
    <w:p w:rsidR="00906B73" w:rsidRDefault="00906B73"/>
    <w:p w:rsidR="00906B73" w:rsidRDefault="00906B73"/>
    <w:p w:rsidR="00906B73" w:rsidRDefault="00906B73"/>
    <w:p w:rsidR="00906B73" w:rsidRDefault="00906B73" w:rsidP="00906B73">
      <w:pPr>
        <w:jc w:val="both"/>
        <w:rPr>
          <w:lang w:val="es-ES"/>
        </w:rPr>
      </w:pPr>
    </w:p>
    <w:p w:rsidR="00906B73" w:rsidRPr="00906B73" w:rsidRDefault="00906B73" w:rsidP="00906B73">
      <w:pPr>
        <w:pStyle w:val="Prrafodelista"/>
        <w:numPr>
          <w:ilvl w:val="0"/>
          <w:numId w:val="1"/>
        </w:numPr>
        <w:jc w:val="both"/>
        <w:rPr>
          <w:lang w:val="es-ES"/>
        </w:rPr>
      </w:pPr>
      <w:r w:rsidRPr="0057134A">
        <w:rPr>
          <w:b/>
          <w:i/>
          <w:lang w:val="es-ES"/>
        </w:rPr>
        <w:t xml:space="preserve">Planta un </w:t>
      </w:r>
      <w:r w:rsidR="00BD2601" w:rsidRPr="0057134A">
        <w:rPr>
          <w:b/>
          <w:i/>
          <w:lang w:val="es-ES"/>
        </w:rPr>
        <w:t>deterioro estructural del poder adquisitivo</w:t>
      </w:r>
      <w:r>
        <w:rPr>
          <w:lang w:val="es-ES"/>
        </w:rPr>
        <w:t xml:space="preserve">: </w:t>
      </w:r>
      <w:r w:rsidRPr="00906B73">
        <w:rPr>
          <w:lang w:val="es-ES"/>
        </w:rPr>
        <w:t xml:space="preserve">La situación previa al aumento otorgado resultaba, una vez más, la expresión del derrotero trazado por el deterioro del poder adquisitivo al que queda normalmente sometida la AUH desde que se creó. Desde fines del año 2009, la combinación de actualizaciones anuales con la persistencia de tasas de inflación de entre el 20% y 30%, según el año, dieron como resultado una trayectoria que combinó </w:t>
      </w:r>
      <w:r w:rsidRPr="00906B73">
        <w:rPr>
          <w:i/>
          <w:lang w:val="es-ES"/>
        </w:rPr>
        <w:t>saltos</w:t>
      </w:r>
      <w:r w:rsidRPr="00906B73">
        <w:rPr>
          <w:lang w:val="es-ES"/>
        </w:rPr>
        <w:t xml:space="preserve"> marginales en el valor real del monto en períodos cortos de tiempo y el predominio de situaciones de caída.  Así al mes de Mayo del presente año, el retraso acumulado de la AUH era del orden del -16,3% en relación al monto inicial.</w:t>
      </w:r>
    </w:p>
    <w:p w:rsidR="00906B73" w:rsidRDefault="00906B73" w:rsidP="00906B73">
      <w:pPr>
        <w:jc w:val="both"/>
        <w:rPr>
          <w:lang w:val="es-ES"/>
        </w:rPr>
      </w:pPr>
    </w:p>
    <w:p w:rsidR="00906B73" w:rsidRDefault="00906B73" w:rsidP="00C6643D">
      <w:pPr>
        <w:ind w:left="708"/>
        <w:jc w:val="both"/>
        <w:rPr>
          <w:lang w:val="es-ES"/>
        </w:rPr>
      </w:pPr>
      <w:r w:rsidRPr="006C42EC">
        <w:rPr>
          <w:lang w:val="es-ES"/>
        </w:rPr>
        <w:t xml:space="preserve">La AUH se instauró en octubre 2009, con un monto de $ 180. Posteriormente, en función de los sucesivos incrementos nominales que se implementaron año a año, es factible señalar dos </w:t>
      </w:r>
      <w:proofErr w:type="spellStart"/>
      <w:r w:rsidRPr="006C42EC">
        <w:rPr>
          <w:lang w:val="es-ES"/>
        </w:rPr>
        <w:t>subperíodos</w:t>
      </w:r>
      <w:proofErr w:type="spellEnd"/>
      <w:r w:rsidRPr="006C42EC">
        <w:rPr>
          <w:lang w:val="es-ES"/>
        </w:rPr>
        <w:t xml:space="preserve">: </w:t>
      </w:r>
    </w:p>
    <w:p w:rsidR="00906B73" w:rsidRDefault="00906B73" w:rsidP="00906B73">
      <w:pPr>
        <w:jc w:val="both"/>
        <w:rPr>
          <w:lang w:val="es-ES"/>
        </w:rPr>
      </w:pPr>
    </w:p>
    <w:p w:rsidR="00906B73" w:rsidRPr="006C42EC" w:rsidRDefault="00906B73" w:rsidP="00C920F8">
      <w:pPr>
        <w:pStyle w:val="Prrafodelista"/>
        <w:tabs>
          <w:tab w:val="left" w:pos="284"/>
        </w:tabs>
        <w:ind w:left="708"/>
        <w:jc w:val="both"/>
        <w:rPr>
          <w:lang w:val="es-ES"/>
        </w:rPr>
      </w:pPr>
      <w:r w:rsidRPr="006C42EC">
        <w:rPr>
          <w:u w:val="single"/>
          <w:lang w:val="es-ES"/>
        </w:rPr>
        <w:t>2009-2012</w:t>
      </w:r>
      <w:r w:rsidRPr="006C42EC">
        <w:rPr>
          <w:lang w:val="es-ES"/>
        </w:rPr>
        <w:t>: en dichos años, los respectivos aumentos nominales se ubicaron por debajo de la inflación acumulada (considerando la canasta alimentaria), en virtud de lo cual la AUH no sólo no mantuvo su poder adquisitivo, sino que este último disminuyó en forma sustancial respecto al monto original. Este fenómeno tuvo lugar incluso en los meses en que comenzaron a regir los incrementos -siendo esto último lo que demarca el período en análisis-. Así, los $ 180 de octubre 2009 en septiembre 2010 representaban apenas $ 139,2 (un desplome del -22,7% en términos reales); luego en octubre 2010 el incremento fue del +22,2% (ascendiendo a $ 220), por debajo de la inflación alimentaria acumulada en el período (+34,4%), con lo cual apenas se morigeró la reducción de la AUH, que a dicha fecha evidenciaba una caída en términos reales del -9,1% (siendo equivalente a $</w:t>
      </w:r>
      <w:r w:rsidRPr="006C42EC">
        <w:rPr>
          <w:vertAlign w:val="subscript"/>
          <w:lang w:val="es-ES"/>
        </w:rPr>
        <w:t>Oct.2009</w:t>
      </w:r>
      <w:r w:rsidRPr="006C42EC">
        <w:rPr>
          <w:lang w:val="es-ES"/>
        </w:rPr>
        <w:t xml:space="preserve"> 163,7). En septiembre 2011 la AUH ya se había deteriorado un -26,2% en términos reales ($</w:t>
      </w:r>
      <w:r w:rsidRPr="006C42EC">
        <w:rPr>
          <w:vertAlign w:val="subscript"/>
          <w:lang w:val="es-ES"/>
        </w:rPr>
        <w:t>Oct.2009</w:t>
      </w:r>
      <w:r w:rsidRPr="006C42EC">
        <w:rPr>
          <w:lang w:val="es-ES"/>
        </w:rPr>
        <w:t xml:space="preserve"> 132,8); luego en octubre 2011 el aumento fue del +22,7% ($ 270), se acumuló una inflación del +24,2%, y la AUH sufrió entonces una merma real del -10,2% ($</w:t>
      </w:r>
      <w:r w:rsidRPr="006C42EC">
        <w:rPr>
          <w:vertAlign w:val="subscript"/>
          <w:lang w:val="es-ES"/>
        </w:rPr>
        <w:t>Oct.2009</w:t>
      </w:r>
      <w:r w:rsidRPr="006C42EC">
        <w:rPr>
          <w:lang w:val="es-ES"/>
        </w:rPr>
        <w:t xml:space="preserve"> 161,7). Por último, en septiembre 2012 la AUH mostraba una erosión acumulada del -27,3% ($</w:t>
      </w:r>
      <w:r w:rsidRPr="006C42EC">
        <w:rPr>
          <w:vertAlign w:val="subscript"/>
          <w:lang w:val="es-ES"/>
        </w:rPr>
        <w:t>Oct.2009</w:t>
      </w:r>
      <w:r w:rsidRPr="006C42EC">
        <w:rPr>
          <w:lang w:val="es-ES"/>
        </w:rPr>
        <w:t xml:space="preserve"> 130,8); finalmente, en octubre 2012 el alza fue del +25,9% nominal ($ 340), la inflación acumulada del +26,0%, y la AUH se mantuvo constante en términos reales respecto al año anterior. De este modo, se aprecia que entre octubre 2009 y octubre 2012 el poder adquisitivo de la AUH se deterioró en forma constante como consecuencia del impacto inflacionario en su poder adquisitivo, apenas morigerado puntualmente en los meses de actualización del monto nominal; en este sentido, estas oscilaciones derivaron en que el </w:t>
      </w:r>
      <w:proofErr w:type="spellStart"/>
      <w:r w:rsidRPr="006C42EC">
        <w:rPr>
          <w:lang w:val="es-ES"/>
        </w:rPr>
        <w:t>subperíodo</w:t>
      </w:r>
      <w:proofErr w:type="spellEnd"/>
      <w:r w:rsidRPr="006C42EC">
        <w:rPr>
          <w:lang w:val="es-ES"/>
        </w:rPr>
        <w:t xml:space="preserve"> cierr</w:t>
      </w:r>
      <w:r>
        <w:rPr>
          <w:lang w:val="es-ES"/>
        </w:rPr>
        <w:t>e con un desplome real del -10,2</w:t>
      </w:r>
      <w:r w:rsidRPr="006C42EC">
        <w:rPr>
          <w:lang w:val="es-ES"/>
        </w:rPr>
        <w:t xml:space="preserve">% en la AUH. </w:t>
      </w:r>
    </w:p>
    <w:p w:rsidR="00906B73" w:rsidRDefault="00906B73" w:rsidP="00906B73">
      <w:pPr>
        <w:ind w:left="360"/>
        <w:jc w:val="both"/>
        <w:rPr>
          <w:lang w:val="es-ES"/>
        </w:rPr>
      </w:pPr>
    </w:p>
    <w:p w:rsidR="00906B73" w:rsidRPr="006C42EC" w:rsidRDefault="00906B73" w:rsidP="00C920F8">
      <w:pPr>
        <w:pStyle w:val="Prrafodelista"/>
        <w:tabs>
          <w:tab w:val="left" w:pos="284"/>
          <w:tab w:val="left" w:pos="426"/>
        </w:tabs>
        <w:ind w:left="708"/>
        <w:jc w:val="both"/>
        <w:rPr>
          <w:lang w:val="es-ES"/>
        </w:rPr>
      </w:pPr>
      <w:r w:rsidRPr="006C42EC">
        <w:rPr>
          <w:u w:val="single"/>
          <w:lang w:val="es-ES"/>
        </w:rPr>
        <w:t>2013-2015:</w:t>
      </w:r>
      <w:r w:rsidRPr="006C42EC">
        <w:rPr>
          <w:lang w:val="es-ES"/>
        </w:rPr>
        <w:t xml:space="preserve"> en mayo 2013, nuevamente la inflación había corroído el poder de compra de la AUH, que disminuyó así un -22,1% (ubicándose en $</w:t>
      </w:r>
      <w:r w:rsidRPr="006C42EC">
        <w:rPr>
          <w:vertAlign w:val="subscript"/>
          <w:lang w:val="es-ES"/>
        </w:rPr>
        <w:t>Oct.2009</w:t>
      </w:r>
      <w:r w:rsidRPr="006C42EC">
        <w:rPr>
          <w:lang w:val="es-ES"/>
        </w:rPr>
        <w:t xml:space="preserve"> 140,2); luego, en junio 2013 tuvo lugar un incremento nominal del +35,3% (el más elevado hasta el momento, llevando el monto de la AUH </w:t>
      </w:r>
      <w:r>
        <w:rPr>
          <w:lang w:val="es-ES"/>
        </w:rPr>
        <w:t xml:space="preserve">a </w:t>
      </w:r>
      <w:r w:rsidRPr="006C42EC">
        <w:rPr>
          <w:lang w:val="es-ES"/>
        </w:rPr>
        <w:t>$ 460), la inflación alimentaria acumulada en el período fue del +18,2%, provocándose en consecuencia el primer incremento real de la AUH desde su instauración: +2,8% ($</w:t>
      </w:r>
      <w:r w:rsidRPr="006C42EC">
        <w:rPr>
          <w:vertAlign w:val="subscript"/>
          <w:lang w:val="es-ES"/>
        </w:rPr>
        <w:t>Oct.2009</w:t>
      </w:r>
      <w:r w:rsidRPr="006C42EC">
        <w:rPr>
          <w:lang w:val="es-ES"/>
        </w:rPr>
        <w:t xml:space="preserve"> 185,1) respecto al monto original de $ 180. No obstante, est</w:t>
      </w:r>
      <w:r>
        <w:rPr>
          <w:lang w:val="es-ES"/>
        </w:rPr>
        <w:t>e</w:t>
      </w:r>
      <w:r w:rsidRPr="006C42EC">
        <w:rPr>
          <w:lang w:val="es-ES"/>
        </w:rPr>
        <w:t xml:space="preserve"> alza en el poder de compra de la AUH apenas duró dos meses, ya que volvió a su estructural deterioro por efecto </w:t>
      </w:r>
      <w:r w:rsidRPr="006C42EC">
        <w:rPr>
          <w:lang w:val="es-ES"/>
        </w:rPr>
        <w:lastRenderedPageBreak/>
        <w:t>inflacionario, ubicándose en mayo 2014 en sólo $</w:t>
      </w:r>
      <w:r w:rsidRPr="006C42EC">
        <w:rPr>
          <w:vertAlign w:val="subscript"/>
          <w:lang w:val="es-ES"/>
        </w:rPr>
        <w:t>Oct.2009</w:t>
      </w:r>
      <w:r w:rsidRPr="006C42EC">
        <w:rPr>
          <w:lang w:val="es-ES"/>
        </w:rPr>
        <w:t xml:space="preserve"> 133,2 (-26,0%). En junio 2014 se aplicó el mayor incremento nominal del período (+40,0%), que elevó el monto de la AUH a $ 644; sin embargo, la inflación acumulada del +41,4% provocó una merma real del -1,0% en comparación con el anterior aumento, aunque un alza respecto al monto original (+1,8%; $</w:t>
      </w:r>
      <w:r w:rsidRPr="006C42EC">
        <w:rPr>
          <w:vertAlign w:val="subscript"/>
          <w:lang w:val="es-ES"/>
        </w:rPr>
        <w:t>Oct.2009</w:t>
      </w:r>
      <w:r w:rsidRPr="006C42EC">
        <w:rPr>
          <w:lang w:val="es-ES"/>
        </w:rPr>
        <w:t xml:space="preserve"> 183,2). Dicha alza en el poder adquisitivo volvió a sobrevivir apenas por un bimestre, y luego ya en mayo 2015 el monto real de la AUH se ubicó en $</w:t>
      </w:r>
      <w:r w:rsidRPr="006C42EC">
        <w:rPr>
          <w:vertAlign w:val="subscript"/>
          <w:lang w:val="es-ES"/>
        </w:rPr>
        <w:t>Oct.2009</w:t>
      </w:r>
      <w:r w:rsidRPr="006C42EC">
        <w:rPr>
          <w:lang w:val="es-ES"/>
        </w:rPr>
        <w:t xml:space="preserve"> 150,7 (-16,3%).</w:t>
      </w:r>
    </w:p>
    <w:p w:rsidR="00906B73" w:rsidRPr="006C42EC" w:rsidRDefault="00906B73" w:rsidP="00906B73">
      <w:pPr>
        <w:ind w:left="360"/>
        <w:jc w:val="both"/>
        <w:rPr>
          <w:lang w:val="es-ES"/>
        </w:rPr>
      </w:pPr>
    </w:p>
    <w:p w:rsidR="00906B73" w:rsidRDefault="00906B73" w:rsidP="00C920F8">
      <w:pPr>
        <w:ind w:left="708"/>
        <w:jc w:val="both"/>
        <w:rPr>
          <w:lang w:val="es-ES"/>
        </w:rPr>
      </w:pPr>
      <w:r w:rsidRPr="006C42EC">
        <w:rPr>
          <w:lang w:val="es-ES"/>
        </w:rPr>
        <w:t xml:space="preserve">Finalmente, en junio 2015 el gobierno nacional </w:t>
      </w:r>
      <w:r>
        <w:rPr>
          <w:lang w:val="es-ES"/>
        </w:rPr>
        <w:t>anunció</w:t>
      </w:r>
      <w:r w:rsidRPr="006C42EC">
        <w:rPr>
          <w:lang w:val="es-ES"/>
        </w:rPr>
        <w:t xml:space="preserve"> el último incremento nominal en la AUH</w:t>
      </w:r>
      <w:r>
        <w:rPr>
          <w:lang w:val="es-ES"/>
        </w:rPr>
        <w:t>/AUE</w:t>
      </w:r>
      <w:r w:rsidRPr="006C42EC">
        <w:rPr>
          <w:lang w:val="es-ES"/>
        </w:rPr>
        <w:t xml:space="preserve">: +30%, elevando el </w:t>
      </w:r>
      <w:r>
        <w:rPr>
          <w:lang w:val="es-ES"/>
        </w:rPr>
        <w:t>monto</w:t>
      </w:r>
      <w:r w:rsidRPr="006C42EC">
        <w:rPr>
          <w:lang w:val="es-ES"/>
        </w:rPr>
        <w:t xml:space="preserve"> a $ 837. </w:t>
      </w:r>
      <w:r>
        <w:rPr>
          <w:lang w:val="es-ES"/>
        </w:rPr>
        <w:t xml:space="preserve">A octubre 2015, la inflación acumulada aún no había corroído por completo el poder adquisitivo de la AUH, la cual ascendía a </w:t>
      </w:r>
      <w:r w:rsidRPr="006C42EC">
        <w:rPr>
          <w:lang w:val="es-ES"/>
        </w:rPr>
        <w:t>$</w:t>
      </w:r>
      <w:r w:rsidRPr="006C42EC">
        <w:rPr>
          <w:vertAlign w:val="subscript"/>
          <w:lang w:val="es-ES"/>
        </w:rPr>
        <w:t>Oct.2009</w:t>
      </w:r>
      <w:r w:rsidRPr="006C42EC">
        <w:rPr>
          <w:lang w:val="es-ES"/>
        </w:rPr>
        <w:t xml:space="preserve"> 1</w:t>
      </w:r>
      <w:r>
        <w:rPr>
          <w:lang w:val="es-ES"/>
        </w:rPr>
        <w:t>81</w:t>
      </w:r>
      <w:r w:rsidRPr="006C42EC">
        <w:rPr>
          <w:lang w:val="es-ES"/>
        </w:rPr>
        <w:t>,</w:t>
      </w:r>
      <w:r>
        <w:rPr>
          <w:lang w:val="es-ES"/>
        </w:rPr>
        <w:t>5, logrando mantenerse un +0,8% por sobre el monto original. Es destacable mencionar que, además, desde el incremento nominal otorgado en junio 2014 a la fecha, el monto real de la AUH fue superior en términos reales al de idéntico mes del año anterior, en forma ininterrumpida. No obstante, la AUH evidenciará una caída en su poder adquisitivo antes de culminar 2015, la cual se extenderá en 2016 hasta que (eventualmente) se implemente un nuevo reajuste que recomponga su poder de compra.</w:t>
      </w:r>
    </w:p>
    <w:p w:rsidR="00906B73" w:rsidRPr="006C42EC" w:rsidRDefault="00906B73" w:rsidP="00906B73">
      <w:pPr>
        <w:jc w:val="both"/>
        <w:rPr>
          <w:lang w:val="es-ES"/>
        </w:rPr>
      </w:pPr>
    </w:p>
    <w:p w:rsidR="00906B73" w:rsidRDefault="00906B73" w:rsidP="00C920F8">
      <w:pPr>
        <w:ind w:left="708"/>
        <w:jc w:val="both"/>
        <w:rPr>
          <w:lang w:val="es-ES"/>
        </w:rPr>
      </w:pPr>
      <w:r w:rsidRPr="006C42EC">
        <w:rPr>
          <w:lang w:val="es-ES"/>
        </w:rPr>
        <w:t>En conclusión, resulta factible afirmar que la AUH sigue presa de un estructural deterioro en su poder adquisitivo, coyunturalmente morigerado (y últimamente, mejorado) por periódicos incrementos nominales que no compensan la erosión provocada por la inflación imperante en la economía nacional.</w:t>
      </w:r>
      <w:r>
        <w:rPr>
          <w:lang w:val="es-ES"/>
        </w:rPr>
        <w:t xml:space="preserve"> </w:t>
      </w:r>
    </w:p>
    <w:p w:rsidR="00906B73" w:rsidRDefault="00906B73" w:rsidP="00906B73">
      <w:pPr>
        <w:jc w:val="both"/>
        <w:rPr>
          <w:lang w:val="es-ES"/>
        </w:rPr>
      </w:pPr>
    </w:p>
    <w:p w:rsidR="00906B73" w:rsidRPr="00C23984" w:rsidRDefault="00906B73" w:rsidP="00906B73">
      <w:pPr>
        <w:jc w:val="both"/>
        <w:rPr>
          <w:b/>
          <w:i/>
          <w:sz w:val="22"/>
          <w:lang w:val="es-ES"/>
        </w:rPr>
      </w:pPr>
      <w:r w:rsidRPr="00C23984">
        <w:rPr>
          <w:b/>
          <w:i/>
          <w:sz w:val="22"/>
          <w:u w:val="single"/>
          <w:lang w:val="es-ES"/>
        </w:rPr>
        <w:t xml:space="preserve">Cuadro </w:t>
      </w:r>
      <w:r w:rsidR="00615343">
        <w:rPr>
          <w:b/>
          <w:i/>
          <w:sz w:val="22"/>
          <w:u w:val="single"/>
          <w:lang w:val="es-ES"/>
        </w:rPr>
        <w:t>5</w:t>
      </w:r>
      <w:r w:rsidRPr="00C23984">
        <w:rPr>
          <w:b/>
          <w:i/>
          <w:sz w:val="22"/>
          <w:u w:val="single"/>
          <w:lang w:val="es-ES"/>
        </w:rPr>
        <w:t>:</w:t>
      </w:r>
      <w:r w:rsidRPr="00C23984">
        <w:rPr>
          <w:b/>
          <w:i/>
          <w:sz w:val="22"/>
          <w:lang w:val="es-ES"/>
        </w:rPr>
        <w:t xml:space="preserve"> AUH, evolución nominal y real (2009-2015). </w:t>
      </w:r>
      <w:r w:rsidRPr="00C23984">
        <w:rPr>
          <w:b/>
          <w:i/>
          <w:sz w:val="22"/>
          <w:lang w:val="es-ES"/>
        </w:rPr>
        <w:tab/>
      </w:r>
    </w:p>
    <w:p w:rsidR="00906B73" w:rsidRPr="00C23984" w:rsidRDefault="00906B73" w:rsidP="00906B73">
      <w:pPr>
        <w:ind w:left="-851" w:hanging="283"/>
        <w:jc w:val="both"/>
        <w:rPr>
          <w:b/>
          <w:i/>
          <w:sz w:val="22"/>
          <w:lang w:val="es-ES"/>
        </w:rPr>
      </w:pPr>
      <w:r w:rsidRPr="001D3305">
        <w:rPr>
          <w:noProof/>
          <w:lang w:eastAsia="es-AR"/>
        </w:rPr>
        <w:drawing>
          <wp:inline distT="0" distB="0" distL="0" distR="0">
            <wp:extent cx="6969016" cy="1830400"/>
            <wp:effectExtent l="19050" t="0" r="3284"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6969016" cy="1830400"/>
                    </a:xfrm>
                    <a:prstGeom prst="rect">
                      <a:avLst/>
                    </a:prstGeom>
                    <a:noFill/>
                    <a:ln w="9525">
                      <a:noFill/>
                      <a:miter lim="800000"/>
                      <a:headEnd/>
                      <a:tailEnd/>
                    </a:ln>
                  </pic:spPr>
                </pic:pic>
              </a:graphicData>
            </a:graphic>
          </wp:inline>
        </w:drawing>
      </w:r>
    </w:p>
    <w:p w:rsidR="00906B73" w:rsidRPr="006C42EC" w:rsidRDefault="00906B73" w:rsidP="00906B73">
      <w:pPr>
        <w:ind w:left="-709"/>
        <w:jc w:val="both"/>
        <w:rPr>
          <w:b/>
          <w:i/>
          <w:lang w:val="es-ES"/>
        </w:rPr>
      </w:pPr>
      <w:r w:rsidRPr="006C42EC">
        <w:rPr>
          <w:b/>
          <w:i/>
          <w:lang w:val="es-ES"/>
        </w:rPr>
        <w:tab/>
      </w:r>
      <w:r w:rsidRPr="006C42EC">
        <w:rPr>
          <w:b/>
          <w:i/>
          <w:lang w:val="es-ES"/>
        </w:rPr>
        <w:tab/>
      </w:r>
      <w:r w:rsidRPr="006C42EC">
        <w:rPr>
          <w:b/>
          <w:i/>
          <w:lang w:val="es-ES"/>
        </w:rPr>
        <w:tab/>
      </w:r>
      <w:r w:rsidRPr="006C42EC">
        <w:rPr>
          <w:b/>
          <w:i/>
          <w:lang w:val="es-ES"/>
        </w:rPr>
        <w:tab/>
      </w:r>
      <w:r w:rsidRPr="006C42EC">
        <w:rPr>
          <w:b/>
          <w:i/>
          <w:lang w:val="es-ES"/>
        </w:rPr>
        <w:tab/>
      </w:r>
      <w:r w:rsidRPr="006C42EC">
        <w:rPr>
          <w:b/>
          <w:i/>
          <w:lang w:val="es-ES"/>
        </w:rPr>
        <w:tab/>
      </w:r>
      <w:r w:rsidRPr="006C42EC">
        <w:rPr>
          <w:b/>
          <w:i/>
          <w:lang w:val="es-ES"/>
        </w:rPr>
        <w:tab/>
      </w:r>
      <w:r w:rsidRPr="006C42EC">
        <w:rPr>
          <w:b/>
          <w:i/>
          <w:lang w:val="es-ES"/>
        </w:rPr>
        <w:tab/>
      </w:r>
      <w:r w:rsidRPr="006C42EC">
        <w:rPr>
          <w:b/>
          <w:i/>
          <w:lang w:val="es-ES"/>
        </w:rPr>
        <w:tab/>
      </w:r>
      <w:r w:rsidRPr="006C42EC">
        <w:rPr>
          <w:b/>
          <w:i/>
          <w:lang w:val="es-ES"/>
        </w:rPr>
        <w:tab/>
      </w:r>
      <w:r w:rsidRPr="006C42EC">
        <w:rPr>
          <w:b/>
          <w:i/>
          <w:lang w:val="es-ES"/>
        </w:rPr>
        <w:tab/>
      </w:r>
    </w:p>
    <w:p w:rsidR="00906B73" w:rsidRPr="00C23984" w:rsidRDefault="00906B73" w:rsidP="00906B73">
      <w:pPr>
        <w:jc w:val="center"/>
        <w:rPr>
          <w:sz w:val="18"/>
          <w:szCs w:val="18"/>
          <w:lang w:val="es-ES"/>
        </w:rPr>
      </w:pPr>
      <w:r w:rsidRPr="00C23984">
        <w:rPr>
          <w:i/>
          <w:sz w:val="18"/>
          <w:szCs w:val="18"/>
          <w:u w:val="single"/>
          <w:lang w:val="es-ES"/>
        </w:rPr>
        <w:t>Fuente:</w:t>
      </w:r>
      <w:r w:rsidRPr="00C23984">
        <w:rPr>
          <w:i/>
          <w:sz w:val="18"/>
          <w:szCs w:val="18"/>
          <w:lang w:val="es-ES"/>
        </w:rPr>
        <w:t xml:space="preserve"> </w:t>
      </w:r>
      <w:r w:rsidRPr="00C23984">
        <w:rPr>
          <w:sz w:val="18"/>
          <w:szCs w:val="18"/>
          <w:lang w:val="es-ES"/>
        </w:rPr>
        <w:t xml:space="preserve">Elaboración propia en base a ANSES e IPC 4 provincias, IPC </w:t>
      </w:r>
      <w:proofErr w:type="spellStart"/>
      <w:r w:rsidRPr="00C23984">
        <w:rPr>
          <w:sz w:val="18"/>
          <w:szCs w:val="18"/>
          <w:lang w:val="es-ES"/>
        </w:rPr>
        <w:t>Bevacqua</w:t>
      </w:r>
      <w:proofErr w:type="spellEnd"/>
      <w:r w:rsidRPr="00C23984">
        <w:rPr>
          <w:sz w:val="18"/>
          <w:szCs w:val="18"/>
          <w:lang w:val="es-ES"/>
        </w:rPr>
        <w:t xml:space="preserve"> e IPC CABA.</w:t>
      </w:r>
    </w:p>
    <w:p w:rsidR="00906B73" w:rsidRPr="00C23984" w:rsidRDefault="00906B73" w:rsidP="00906B73">
      <w:pPr>
        <w:jc w:val="both"/>
        <w:rPr>
          <w:sz w:val="22"/>
          <w:lang w:val="es-ES"/>
        </w:rPr>
      </w:pPr>
    </w:p>
    <w:p w:rsidR="00C920F8" w:rsidRDefault="00C920F8" w:rsidP="00906B73">
      <w:pPr>
        <w:jc w:val="both"/>
        <w:rPr>
          <w:b/>
          <w:i/>
          <w:sz w:val="22"/>
          <w:u w:val="single"/>
          <w:lang w:val="es-ES"/>
        </w:rPr>
      </w:pPr>
    </w:p>
    <w:p w:rsidR="00C920F8" w:rsidRDefault="00C920F8" w:rsidP="00906B73">
      <w:pPr>
        <w:jc w:val="both"/>
        <w:rPr>
          <w:b/>
          <w:i/>
          <w:sz w:val="22"/>
          <w:u w:val="single"/>
          <w:lang w:val="es-ES"/>
        </w:rPr>
      </w:pPr>
    </w:p>
    <w:p w:rsidR="00C920F8" w:rsidRDefault="00C920F8" w:rsidP="00906B73">
      <w:pPr>
        <w:jc w:val="both"/>
        <w:rPr>
          <w:b/>
          <w:i/>
          <w:sz w:val="22"/>
          <w:u w:val="single"/>
          <w:lang w:val="es-ES"/>
        </w:rPr>
      </w:pPr>
    </w:p>
    <w:p w:rsidR="00C920F8" w:rsidRDefault="00C920F8" w:rsidP="00906B73">
      <w:pPr>
        <w:jc w:val="both"/>
        <w:rPr>
          <w:b/>
          <w:i/>
          <w:sz w:val="22"/>
          <w:u w:val="single"/>
          <w:lang w:val="es-ES"/>
        </w:rPr>
      </w:pPr>
    </w:p>
    <w:p w:rsidR="00C920F8" w:rsidRDefault="00C920F8" w:rsidP="00906B73">
      <w:pPr>
        <w:jc w:val="both"/>
        <w:rPr>
          <w:b/>
          <w:i/>
          <w:sz w:val="22"/>
          <w:u w:val="single"/>
          <w:lang w:val="es-ES"/>
        </w:rPr>
      </w:pPr>
    </w:p>
    <w:p w:rsidR="00C920F8" w:rsidRDefault="00C920F8" w:rsidP="00906B73">
      <w:pPr>
        <w:jc w:val="both"/>
        <w:rPr>
          <w:b/>
          <w:i/>
          <w:sz w:val="22"/>
          <w:u w:val="single"/>
          <w:lang w:val="es-ES"/>
        </w:rPr>
      </w:pPr>
    </w:p>
    <w:p w:rsidR="00C920F8" w:rsidRDefault="00C920F8" w:rsidP="00906B73">
      <w:pPr>
        <w:jc w:val="both"/>
        <w:rPr>
          <w:b/>
          <w:i/>
          <w:sz w:val="22"/>
          <w:u w:val="single"/>
          <w:lang w:val="es-ES"/>
        </w:rPr>
      </w:pPr>
    </w:p>
    <w:p w:rsidR="00C920F8" w:rsidRDefault="00C920F8" w:rsidP="00906B73">
      <w:pPr>
        <w:jc w:val="both"/>
        <w:rPr>
          <w:b/>
          <w:i/>
          <w:sz w:val="22"/>
          <w:u w:val="single"/>
          <w:lang w:val="es-ES"/>
        </w:rPr>
      </w:pPr>
    </w:p>
    <w:p w:rsidR="00607DFD" w:rsidRDefault="00607DFD" w:rsidP="00906B73">
      <w:pPr>
        <w:jc w:val="both"/>
        <w:rPr>
          <w:b/>
          <w:i/>
          <w:sz w:val="22"/>
          <w:u w:val="single"/>
          <w:lang w:val="es-ES"/>
        </w:rPr>
      </w:pPr>
    </w:p>
    <w:p w:rsidR="00607DFD" w:rsidRDefault="00607DFD" w:rsidP="00906B73">
      <w:pPr>
        <w:jc w:val="both"/>
        <w:rPr>
          <w:b/>
          <w:i/>
          <w:sz w:val="22"/>
          <w:u w:val="single"/>
          <w:lang w:val="es-ES"/>
        </w:rPr>
      </w:pPr>
    </w:p>
    <w:p w:rsidR="00C920F8" w:rsidRDefault="00C920F8" w:rsidP="00906B73">
      <w:pPr>
        <w:jc w:val="both"/>
        <w:rPr>
          <w:b/>
          <w:i/>
          <w:sz w:val="22"/>
          <w:u w:val="single"/>
          <w:lang w:val="es-ES"/>
        </w:rPr>
      </w:pPr>
    </w:p>
    <w:p w:rsidR="00906B73" w:rsidRPr="00C23984" w:rsidRDefault="00906B73" w:rsidP="00906B73">
      <w:pPr>
        <w:jc w:val="both"/>
        <w:rPr>
          <w:b/>
          <w:i/>
          <w:sz w:val="22"/>
          <w:lang w:val="es-ES"/>
        </w:rPr>
      </w:pPr>
      <w:r w:rsidRPr="00C23984">
        <w:rPr>
          <w:b/>
          <w:i/>
          <w:sz w:val="22"/>
          <w:u w:val="single"/>
          <w:lang w:val="es-ES"/>
        </w:rPr>
        <w:t>Gráfico 1:</w:t>
      </w:r>
      <w:r w:rsidRPr="00C23984">
        <w:rPr>
          <w:b/>
          <w:i/>
          <w:sz w:val="22"/>
          <w:lang w:val="es-ES"/>
        </w:rPr>
        <w:t xml:space="preserve"> AUH, evolución real (2009-2015). </w:t>
      </w:r>
      <w:r w:rsidRPr="00C23984">
        <w:rPr>
          <w:b/>
          <w:i/>
          <w:sz w:val="22"/>
          <w:lang w:val="es-ES"/>
        </w:rPr>
        <w:tab/>
      </w:r>
    </w:p>
    <w:p w:rsidR="00906B73" w:rsidRPr="006C42EC" w:rsidRDefault="00906B73" w:rsidP="00906B73">
      <w:pPr>
        <w:jc w:val="center"/>
        <w:rPr>
          <w:b/>
          <w:i/>
          <w:lang w:val="es-ES"/>
        </w:rPr>
      </w:pPr>
      <w:r w:rsidRPr="00244793">
        <w:rPr>
          <w:noProof/>
          <w:lang w:eastAsia="es-AR"/>
        </w:rPr>
        <w:drawing>
          <wp:inline distT="0" distB="0" distL="0" distR="0">
            <wp:extent cx="4344260" cy="2763235"/>
            <wp:effectExtent l="19050" t="0" r="0"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344260" cy="2763235"/>
                    </a:xfrm>
                    <a:prstGeom prst="rect">
                      <a:avLst/>
                    </a:prstGeom>
                    <a:noFill/>
                    <a:ln w="9525">
                      <a:noFill/>
                      <a:miter lim="800000"/>
                      <a:headEnd/>
                      <a:tailEnd/>
                    </a:ln>
                  </pic:spPr>
                </pic:pic>
              </a:graphicData>
            </a:graphic>
          </wp:inline>
        </w:drawing>
      </w:r>
    </w:p>
    <w:p w:rsidR="00906B73" w:rsidRDefault="00906B73" w:rsidP="00906B73">
      <w:pPr>
        <w:jc w:val="center"/>
        <w:rPr>
          <w:sz w:val="18"/>
          <w:szCs w:val="18"/>
          <w:lang w:val="es-ES"/>
        </w:rPr>
      </w:pPr>
      <w:r w:rsidRPr="00C23984">
        <w:rPr>
          <w:i/>
          <w:sz w:val="18"/>
          <w:szCs w:val="18"/>
          <w:u w:val="single"/>
          <w:lang w:val="es-ES"/>
        </w:rPr>
        <w:t>Fuente:</w:t>
      </w:r>
      <w:r>
        <w:rPr>
          <w:i/>
          <w:sz w:val="18"/>
          <w:szCs w:val="18"/>
          <w:u w:val="single"/>
          <w:lang w:val="es-ES"/>
        </w:rPr>
        <w:t xml:space="preserve"> </w:t>
      </w:r>
      <w:r w:rsidRPr="00C23984">
        <w:rPr>
          <w:sz w:val="18"/>
          <w:szCs w:val="18"/>
          <w:lang w:val="es-ES"/>
        </w:rPr>
        <w:t xml:space="preserve">Elaboración propia en base a ANSES e IPC 4 provincias, IPC </w:t>
      </w:r>
      <w:proofErr w:type="spellStart"/>
      <w:r w:rsidRPr="00C23984">
        <w:rPr>
          <w:sz w:val="18"/>
          <w:szCs w:val="18"/>
          <w:lang w:val="es-ES"/>
        </w:rPr>
        <w:t>Bevacqua</w:t>
      </w:r>
      <w:proofErr w:type="spellEnd"/>
      <w:r w:rsidRPr="00C23984">
        <w:rPr>
          <w:sz w:val="18"/>
          <w:szCs w:val="18"/>
          <w:lang w:val="es-ES"/>
        </w:rPr>
        <w:t xml:space="preserve"> e IPC CABA.</w:t>
      </w:r>
    </w:p>
    <w:p w:rsidR="00C920F8" w:rsidRDefault="00C920F8" w:rsidP="00906B73">
      <w:pPr>
        <w:rPr>
          <w:b/>
          <w:i/>
          <w:sz w:val="28"/>
          <w:szCs w:val="28"/>
          <w:u w:val="single"/>
        </w:rPr>
      </w:pPr>
    </w:p>
    <w:p w:rsidR="00C920F8" w:rsidRDefault="00C920F8" w:rsidP="00906B73">
      <w:pPr>
        <w:rPr>
          <w:b/>
          <w:i/>
          <w:sz w:val="28"/>
          <w:szCs w:val="28"/>
          <w:u w:val="single"/>
        </w:rPr>
      </w:pPr>
    </w:p>
    <w:p w:rsidR="00C85658" w:rsidRPr="00884B86" w:rsidRDefault="00C85658" w:rsidP="00884B86">
      <w:pPr>
        <w:jc w:val="both"/>
        <w:rPr>
          <w:rFonts w:cs="Times New Roman"/>
          <w:b/>
          <w:i/>
          <w:szCs w:val="24"/>
          <w:u w:val="single"/>
        </w:rPr>
      </w:pPr>
      <w:r w:rsidRPr="00884B86">
        <w:rPr>
          <w:rFonts w:cs="Times New Roman"/>
          <w:b/>
          <w:i/>
          <w:szCs w:val="24"/>
          <w:u w:val="single"/>
        </w:rPr>
        <w:t>¿Qué valor debiera tener la AUH?</w:t>
      </w:r>
    </w:p>
    <w:p w:rsidR="00C85658" w:rsidRPr="00C85658" w:rsidRDefault="00C85658" w:rsidP="00C85658">
      <w:pPr>
        <w:jc w:val="both"/>
        <w:rPr>
          <w:rFonts w:cs="Times New Roman"/>
          <w:i/>
          <w:szCs w:val="24"/>
          <w:u w:val="single"/>
        </w:rPr>
      </w:pPr>
    </w:p>
    <w:p w:rsidR="00C85658" w:rsidRPr="00C85658" w:rsidRDefault="00C85658" w:rsidP="00C85658">
      <w:pPr>
        <w:jc w:val="both"/>
        <w:rPr>
          <w:rFonts w:cs="Times New Roman"/>
          <w:szCs w:val="24"/>
        </w:rPr>
      </w:pPr>
      <w:r w:rsidRPr="00C85658">
        <w:rPr>
          <w:rFonts w:cs="Times New Roman"/>
          <w:szCs w:val="24"/>
        </w:rPr>
        <w:t xml:space="preserve">Las asignaciones familiares, como subsistema integrante del Sistema de Seguridad Social, tiene la función de garantizar ingresos a las personas comprendidas en el mismo frente a las contingencias propias del ciclo de la vida, como resulta en este caso puntual, los mayores gastos que ocasiona para el hogar, la carga de familia. En el esquema tradicional contributivo, que reconoce como sujeto de derecho al trabajador formal, esta prestación está absolutamente subordinada al salario y como tal oficia de complemento, razón por la cual, la configuración actual de los montos admite una diferenciación según los rangos de ingresos. Esta lógica, si bien puede ofrecer un monto de asignación familiar por hijo que no refleje taxativamente y por sí sola –independientemente del salario- el valor de las necesidades materiales de vida de la población infanto-juvenil, su evolución necesariamente debe estar asociada a este valor. </w:t>
      </w:r>
    </w:p>
    <w:p w:rsidR="00C85658" w:rsidRPr="00C85658" w:rsidRDefault="00C85658" w:rsidP="00C85658">
      <w:pPr>
        <w:jc w:val="both"/>
        <w:rPr>
          <w:rFonts w:cs="Times New Roman"/>
          <w:szCs w:val="24"/>
        </w:rPr>
      </w:pPr>
    </w:p>
    <w:p w:rsidR="00C85658" w:rsidRPr="00C85658" w:rsidRDefault="00C85658" w:rsidP="00C85658">
      <w:pPr>
        <w:jc w:val="both"/>
        <w:rPr>
          <w:rFonts w:cs="Times New Roman"/>
          <w:szCs w:val="24"/>
        </w:rPr>
      </w:pPr>
      <w:r w:rsidRPr="00C85658">
        <w:rPr>
          <w:rFonts w:cs="Times New Roman"/>
          <w:szCs w:val="24"/>
        </w:rPr>
        <w:t xml:space="preserve">De todos modos, la AUH que al menos nominalmente se proclama bajo la égida universal –pese a que su real implementación diste mucho de realizarse de tal modo- debiera estar inscripta en otro marco conceptual puesto que realiza un corrimiento en la figura del sujeto de derecho desde la figura asalariada al ciudadano que como tal, no hace distinción en base al tipo de inserción laboral. </w:t>
      </w:r>
      <w:r w:rsidRPr="00C85658">
        <w:rPr>
          <w:rFonts w:cs="Times New Roman"/>
          <w:b/>
          <w:i/>
          <w:szCs w:val="24"/>
        </w:rPr>
        <w:t>Ello implica que el valor de la asignación familiar transferida no es una variable dependiente del salario y que por lo tanto, el mismo debe guardar relación directa con las necesidades materiales de los niños, niñas y adolescentes</w:t>
      </w:r>
      <w:r w:rsidRPr="00C85658">
        <w:rPr>
          <w:rFonts w:cs="Times New Roman"/>
          <w:szCs w:val="24"/>
        </w:rPr>
        <w:t>. Consecuentemente, sostener este valor objetivo en el tiempo implica una actualización conforme a la evolución de precios de la canasta de bienes y servicios que refleje tal propósito.</w:t>
      </w:r>
    </w:p>
    <w:p w:rsidR="00C85658" w:rsidRPr="00C85658" w:rsidRDefault="00C85658" w:rsidP="00C85658">
      <w:pPr>
        <w:jc w:val="both"/>
        <w:rPr>
          <w:rFonts w:cs="Times New Roman"/>
          <w:szCs w:val="24"/>
        </w:rPr>
      </w:pPr>
    </w:p>
    <w:p w:rsidR="00C85658" w:rsidRPr="00C85658" w:rsidRDefault="00C85658" w:rsidP="00C85658">
      <w:pPr>
        <w:jc w:val="both"/>
        <w:rPr>
          <w:rFonts w:cs="Times New Roman"/>
          <w:szCs w:val="24"/>
        </w:rPr>
      </w:pPr>
      <w:r w:rsidRPr="00C85658">
        <w:rPr>
          <w:rFonts w:cs="Times New Roman"/>
          <w:szCs w:val="24"/>
        </w:rPr>
        <w:lastRenderedPageBreak/>
        <w:t>Desde nuestro Instituto, en el marco de la actual intervención que opera sobre el INDEC, hemos desarrollado alternativas a la oficial que permiten valorizar las canastas de pobreza e indigencia. Para ello, consideramos una alternativa de máxima que incorpora una actualización metodológica</w:t>
      </w:r>
      <w:r w:rsidRPr="00C85658">
        <w:rPr>
          <w:rStyle w:val="Refdenotaalpie"/>
          <w:rFonts w:cs="Times New Roman"/>
          <w:szCs w:val="24"/>
        </w:rPr>
        <w:footnoteReference w:id="2"/>
      </w:r>
      <w:r w:rsidRPr="00C85658">
        <w:rPr>
          <w:rFonts w:cs="Times New Roman"/>
          <w:szCs w:val="24"/>
        </w:rPr>
        <w:t xml:space="preserve"> y una de mínima que considera la metodología convencional pero con una pauta de inflación alternativa a los índices subestimados por el INDEC</w:t>
      </w:r>
      <w:r w:rsidRPr="00C85658">
        <w:rPr>
          <w:rStyle w:val="Refdenotaalpie"/>
          <w:rFonts w:cs="Times New Roman"/>
          <w:szCs w:val="24"/>
        </w:rPr>
        <w:footnoteReference w:id="3"/>
      </w:r>
      <w:r w:rsidRPr="00C85658">
        <w:rPr>
          <w:rFonts w:cs="Times New Roman"/>
          <w:szCs w:val="24"/>
        </w:rPr>
        <w:t xml:space="preserve">. </w:t>
      </w:r>
    </w:p>
    <w:p w:rsidR="00C85658" w:rsidRPr="00C85658" w:rsidRDefault="00C85658" w:rsidP="00C85658">
      <w:pPr>
        <w:jc w:val="both"/>
        <w:rPr>
          <w:rFonts w:cs="Times New Roman"/>
          <w:szCs w:val="24"/>
        </w:rPr>
      </w:pPr>
    </w:p>
    <w:p w:rsidR="00C85658" w:rsidRPr="00C85658" w:rsidRDefault="00C85658" w:rsidP="00C85658">
      <w:pPr>
        <w:jc w:val="both"/>
        <w:rPr>
          <w:rFonts w:cs="Times New Roman"/>
          <w:szCs w:val="24"/>
        </w:rPr>
      </w:pPr>
      <w:r w:rsidRPr="00C85658">
        <w:rPr>
          <w:rFonts w:cs="Times New Roman"/>
          <w:szCs w:val="24"/>
        </w:rPr>
        <w:t xml:space="preserve">De esta manera, surge que a valores del mes de Mayo del presente año, las necesidades de alimentación de la población infanto-juvenil oscilan entre los $735,8 y los $868,6. Al incorporar otro tipo de necesidades como las no alimentarias que incluyen los gastos de vestimenta, salud, educación, transporte, etc. resulta que el valor objetivo que refleja una canasta mínima para la subsistencia de una persona menor de 18 años no puede ser inferior a los $1.407,2. La alternativa de máxima la ubica incluso en un nivel superior: $1.933. </w:t>
      </w:r>
    </w:p>
    <w:p w:rsidR="00C85658" w:rsidRPr="00C85658" w:rsidRDefault="00C85658" w:rsidP="00C85658">
      <w:pPr>
        <w:jc w:val="both"/>
        <w:rPr>
          <w:rFonts w:cs="Times New Roman"/>
          <w:szCs w:val="24"/>
        </w:rPr>
      </w:pPr>
    </w:p>
    <w:p w:rsidR="00C85658" w:rsidRPr="00C85658" w:rsidRDefault="00C85658" w:rsidP="00C85658">
      <w:pPr>
        <w:jc w:val="both"/>
        <w:rPr>
          <w:rFonts w:cs="Times New Roman"/>
          <w:szCs w:val="24"/>
        </w:rPr>
      </w:pPr>
    </w:p>
    <w:p w:rsidR="00C85658" w:rsidRPr="00C85658" w:rsidRDefault="00C85658" w:rsidP="00C85658">
      <w:pPr>
        <w:rPr>
          <w:rFonts w:cs="Times New Roman"/>
          <w:szCs w:val="24"/>
        </w:rPr>
      </w:pPr>
      <w:r w:rsidRPr="00C85658">
        <w:rPr>
          <w:rFonts w:cs="Times New Roman"/>
          <w:szCs w:val="24"/>
        </w:rPr>
        <w:t xml:space="preserve">Cuadro N º </w:t>
      </w:r>
      <w:r w:rsidR="00615343">
        <w:rPr>
          <w:rFonts w:cs="Times New Roman"/>
          <w:szCs w:val="24"/>
        </w:rPr>
        <w:t>6</w:t>
      </w:r>
      <w:r w:rsidRPr="00C85658">
        <w:rPr>
          <w:rFonts w:cs="Times New Roman"/>
          <w:szCs w:val="24"/>
        </w:rPr>
        <w:t>: Estimación de la CBA y la CBT para la población infanto-juvenil. Valores a Mayo 2015.</w:t>
      </w:r>
    </w:p>
    <w:tbl>
      <w:tblPr>
        <w:tblW w:w="6219" w:type="dxa"/>
        <w:jc w:val="center"/>
        <w:tblInd w:w="55" w:type="dxa"/>
        <w:tblCellMar>
          <w:left w:w="70" w:type="dxa"/>
          <w:right w:w="70" w:type="dxa"/>
        </w:tblCellMar>
        <w:tblLook w:val="04A0" w:firstRow="1" w:lastRow="0" w:firstColumn="1" w:lastColumn="0" w:noHBand="0" w:noVBand="1"/>
      </w:tblPr>
      <w:tblGrid>
        <w:gridCol w:w="3559"/>
        <w:gridCol w:w="1460"/>
        <w:gridCol w:w="1216"/>
      </w:tblGrid>
      <w:tr w:rsidR="00C85658" w:rsidRPr="003F2804" w:rsidTr="007865D1">
        <w:trPr>
          <w:trHeight w:val="600"/>
          <w:jc w:val="center"/>
        </w:trPr>
        <w:tc>
          <w:tcPr>
            <w:tcW w:w="3559"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C85658" w:rsidRPr="003F2804" w:rsidRDefault="00C85658" w:rsidP="007865D1">
            <w:pPr>
              <w:jc w:val="center"/>
              <w:rPr>
                <w:rFonts w:ascii="Arial" w:hAnsi="Arial" w:cs="Arial"/>
                <w:color w:val="FFFFFF"/>
                <w:lang w:val="es-ES_tradnl" w:eastAsia="es-ES_tradnl"/>
              </w:rPr>
            </w:pPr>
            <w:r w:rsidRPr="003F2804">
              <w:rPr>
                <w:rFonts w:ascii="Arial" w:hAnsi="Arial" w:cs="Arial"/>
                <w:color w:val="FFFFFF"/>
                <w:sz w:val="22"/>
                <w:lang w:val="es-ES_tradnl" w:eastAsia="es-ES_tradnl"/>
              </w:rPr>
              <w:t> </w:t>
            </w:r>
          </w:p>
        </w:tc>
        <w:tc>
          <w:tcPr>
            <w:tcW w:w="1460" w:type="dxa"/>
            <w:tcBorders>
              <w:top w:val="single" w:sz="4" w:space="0" w:color="auto"/>
              <w:left w:val="nil"/>
              <w:bottom w:val="single" w:sz="4" w:space="0" w:color="auto"/>
              <w:right w:val="single" w:sz="4" w:space="0" w:color="auto"/>
            </w:tcBorders>
            <w:shd w:val="clear" w:color="000000" w:fill="0070C0"/>
            <w:vAlign w:val="bottom"/>
            <w:hideMark/>
          </w:tcPr>
          <w:p w:rsidR="00C85658" w:rsidRPr="003F2804" w:rsidRDefault="00C85658" w:rsidP="007865D1">
            <w:pPr>
              <w:jc w:val="center"/>
              <w:rPr>
                <w:rFonts w:ascii="Arial" w:hAnsi="Arial" w:cs="Arial"/>
                <w:color w:val="FFFFFF"/>
                <w:lang w:val="es-ES_tradnl" w:eastAsia="es-ES_tradnl"/>
              </w:rPr>
            </w:pPr>
            <w:r w:rsidRPr="003F2804">
              <w:rPr>
                <w:rFonts w:ascii="Arial" w:hAnsi="Arial" w:cs="Arial"/>
                <w:color w:val="FFFFFF"/>
                <w:sz w:val="22"/>
                <w:lang w:val="es-ES_tradnl" w:eastAsia="es-ES_tradnl"/>
              </w:rPr>
              <w:t>Estimación Máxima</w:t>
            </w:r>
          </w:p>
        </w:tc>
        <w:tc>
          <w:tcPr>
            <w:tcW w:w="1200" w:type="dxa"/>
            <w:tcBorders>
              <w:top w:val="single" w:sz="4" w:space="0" w:color="auto"/>
              <w:left w:val="nil"/>
              <w:bottom w:val="single" w:sz="4" w:space="0" w:color="auto"/>
              <w:right w:val="single" w:sz="4" w:space="0" w:color="auto"/>
            </w:tcBorders>
            <w:shd w:val="clear" w:color="000000" w:fill="0070C0"/>
            <w:vAlign w:val="bottom"/>
            <w:hideMark/>
          </w:tcPr>
          <w:p w:rsidR="00C85658" w:rsidRPr="003F2804" w:rsidRDefault="00C85658" w:rsidP="007865D1">
            <w:pPr>
              <w:jc w:val="center"/>
              <w:rPr>
                <w:rFonts w:ascii="Arial" w:hAnsi="Arial" w:cs="Arial"/>
                <w:color w:val="FFFFFF"/>
                <w:lang w:val="es-ES_tradnl" w:eastAsia="es-ES_tradnl"/>
              </w:rPr>
            </w:pPr>
            <w:r w:rsidRPr="003F2804">
              <w:rPr>
                <w:rFonts w:ascii="Arial" w:hAnsi="Arial" w:cs="Arial"/>
                <w:color w:val="FFFFFF"/>
                <w:sz w:val="22"/>
                <w:lang w:val="es-ES_tradnl" w:eastAsia="es-ES_tradnl"/>
              </w:rPr>
              <w:t>Estimación Mínima</w:t>
            </w:r>
          </w:p>
        </w:tc>
      </w:tr>
      <w:tr w:rsidR="00C85658" w:rsidRPr="003F2804" w:rsidTr="007865D1">
        <w:trPr>
          <w:trHeight w:val="300"/>
          <w:jc w:val="center"/>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C85658" w:rsidRPr="003F2804" w:rsidRDefault="00C85658" w:rsidP="007865D1">
            <w:pPr>
              <w:rPr>
                <w:rFonts w:ascii="Arial" w:hAnsi="Arial" w:cs="Arial"/>
                <w:color w:val="000000"/>
                <w:lang w:val="es-ES_tradnl" w:eastAsia="es-ES_tradnl"/>
              </w:rPr>
            </w:pPr>
            <w:r w:rsidRPr="003F2804">
              <w:rPr>
                <w:rFonts w:ascii="Arial" w:hAnsi="Arial" w:cs="Arial"/>
                <w:color w:val="000000"/>
                <w:sz w:val="22"/>
                <w:lang w:val="es-ES_tradnl" w:eastAsia="es-ES_tradnl"/>
              </w:rPr>
              <w:t>CBA (población menor de 18 años)</w:t>
            </w:r>
          </w:p>
        </w:tc>
        <w:tc>
          <w:tcPr>
            <w:tcW w:w="1460" w:type="dxa"/>
            <w:tcBorders>
              <w:top w:val="nil"/>
              <w:left w:val="nil"/>
              <w:bottom w:val="single" w:sz="4" w:space="0" w:color="auto"/>
              <w:right w:val="single" w:sz="4" w:space="0" w:color="auto"/>
            </w:tcBorders>
            <w:shd w:val="clear" w:color="auto" w:fill="auto"/>
            <w:noWrap/>
            <w:vAlign w:val="bottom"/>
            <w:hideMark/>
          </w:tcPr>
          <w:p w:rsidR="00C85658" w:rsidRPr="003F2804" w:rsidRDefault="00C85658" w:rsidP="007865D1">
            <w:pPr>
              <w:jc w:val="right"/>
              <w:rPr>
                <w:rFonts w:ascii="Arial" w:hAnsi="Arial" w:cs="Arial"/>
                <w:color w:val="000000"/>
                <w:lang w:val="es-ES_tradnl" w:eastAsia="es-ES_tradnl"/>
              </w:rPr>
            </w:pPr>
            <w:r w:rsidRPr="003F2804">
              <w:rPr>
                <w:rFonts w:ascii="Arial" w:hAnsi="Arial" w:cs="Arial"/>
                <w:color w:val="000000"/>
                <w:sz w:val="22"/>
                <w:lang w:val="es-ES_tradnl" w:eastAsia="es-ES_tradnl"/>
              </w:rPr>
              <w:t>$ 868,6</w:t>
            </w:r>
          </w:p>
        </w:tc>
        <w:tc>
          <w:tcPr>
            <w:tcW w:w="1200" w:type="dxa"/>
            <w:tcBorders>
              <w:top w:val="nil"/>
              <w:left w:val="nil"/>
              <w:bottom w:val="single" w:sz="4" w:space="0" w:color="auto"/>
              <w:right w:val="single" w:sz="4" w:space="0" w:color="auto"/>
            </w:tcBorders>
            <w:shd w:val="clear" w:color="auto" w:fill="auto"/>
            <w:noWrap/>
            <w:vAlign w:val="bottom"/>
            <w:hideMark/>
          </w:tcPr>
          <w:p w:rsidR="00C85658" w:rsidRPr="003F2804" w:rsidRDefault="00C85658" w:rsidP="007865D1">
            <w:pPr>
              <w:jc w:val="right"/>
              <w:rPr>
                <w:rFonts w:ascii="Arial" w:hAnsi="Arial" w:cs="Arial"/>
                <w:color w:val="000000"/>
                <w:lang w:val="es-ES_tradnl" w:eastAsia="es-ES_tradnl"/>
              </w:rPr>
            </w:pPr>
            <w:r w:rsidRPr="003F2804">
              <w:rPr>
                <w:rFonts w:ascii="Arial" w:hAnsi="Arial" w:cs="Arial"/>
                <w:color w:val="000000"/>
                <w:sz w:val="22"/>
                <w:lang w:val="es-ES_tradnl" w:eastAsia="es-ES_tradnl"/>
              </w:rPr>
              <w:t>$ 735,8</w:t>
            </w:r>
          </w:p>
        </w:tc>
      </w:tr>
      <w:tr w:rsidR="00C85658" w:rsidRPr="003F2804" w:rsidTr="007865D1">
        <w:trPr>
          <w:trHeight w:val="300"/>
          <w:jc w:val="center"/>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C85658" w:rsidRPr="003F2804" w:rsidRDefault="00C85658" w:rsidP="007865D1">
            <w:pPr>
              <w:rPr>
                <w:rFonts w:ascii="Arial" w:hAnsi="Arial" w:cs="Arial"/>
                <w:color w:val="000000"/>
                <w:lang w:val="es-ES_tradnl" w:eastAsia="es-ES_tradnl"/>
              </w:rPr>
            </w:pPr>
            <w:r w:rsidRPr="003F2804">
              <w:rPr>
                <w:rFonts w:ascii="Arial" w:hAnsi="Arial" w:cs="Arial"/>
                <w:color w:val="000000"/>
                <w:sz w:val="22"/>
                <w:lang w:val="es-ES_tradnl" w:eastAsia="es-ES_tradnl"/>
              </w:rPr>
              <w:t>CBT (población menor de 18 años)</w:t>
            </w:r>
          </w:p>
        </w:tc>
        <w:tc>
          <w:tcPr>
            <w:tcW w:w="1460" w:type="dxa"/>
            <w:tcBorders>
              <w:top w:val="nil"/>
              <w:left w:val="nil"/>
              <w:bottom w:val="single" w:sz="4" w:space="0" w:color="auto"/>
              <w:right w:val="single" w:sz="4" w:space="0" w:color="auto"/>
            </w:tcBorders>
            <w:shd w:val="clear" w:color="auto" w:fill="auto"/>
            <w:noWrap/>
            <w:vAlign w:val="bottom"/>
            <w:hideMark/>
          </w:tcPr>
          <w:p w:rsidR="00C85658" w:rsidRPr="003F2804" w:rsidRDefault="00C85658" w:rsidP="007865D1">
            <w:pPr>
              <w:jc w:val="right"/>
              <w:rPr>
                <w:rFonts w:ascii="Arial" w:hAnsi="Arial" w:cs="Arial"/>
                <w:color w:val="000000"/>
                <w:lang w:val="es-ES_tradnl" w:eastAsia="es-ES_tradnl"/>
              </w:rPr>
            </w:pPr>
            <w:r w:rsidRPr="003F2804">
              <w:rPr>
                <w:rFonts w:ascii="Arial" w:hAnsi="Arial" w:cs="Arial"/>
                <w:color w:val="000000"/>
                <w:sz w:val="22"/>
                <w:lang w:val="es-ES_tradnl" w:eastAsia="es-ES_tradnl"/>
              </w:rPr>
              <w:t>$ 1.933,0</w:t>
            </w:r>
          </w:p>
        </w:tc>
        <w:tc>
          <w:tcPr>
            <w:tcW w:w="1200" w:type="dxa"/>
            <w:tcBorders>
              <w:top w:val="nil"/>
              <w:left w:val="nil"/>
              <w:bottom w:val="single" w:sz="4" w:space="0" w:color="auto"/>
              <w:right w:val="single" w:sz="4" w:space="0" w:color="auto"/>
            </w:tcBorders>
            <w:shd w:val="clear" w:color="auto" w:fill="auto"/>
            <w:noWrap/>
            <w:vAlign w:val="bottom"/>
            <w:hideMark/>
          </w:tcPr>
          <w:p w:rsidR="00C85658" w:rsidRPr="003F2804" w:rsidRDefault="00C85658" w:rsidP="007865D1">
            <w:pPr>
              <w:jc w:val="right"/>
              <w:rPr>
                <w:rFonts w:ascii="Arial" w:hAnsi="Arial" w:cs="Arial"/>
                <w:color w:val="000000"/>
                <w:lang w:val="es-ES_tradnl" w:eastAsia="es-ES_tradnl"/>
              </w:rPr>
            </w:pPr>
            <w:r w:rsidRPr="003F2804">
              <w:rPr>
                <w:rFonts w:ascii="Arial" w:hAnsi="Arial" w:cs="Arial"/>
                <w:color w:val="000000"/>
                <w:sz w:val="22"/>
                <w:lang w:val="es-ES_tradnl" w:eastAsia="es-ES_tradnl"/>
              </w:rPr>
              <w:t>$ 1.407,2</w:t>
            </w:r>
          </w:p>
        </w:tc>
      </w:tr>
    </w:tbl>
    <w:p w:rsidR="00C85658" w:rsidRPr="003F2804" w:rsidRDefault="00C85658" w:rsidP="00C85658">
      <w:pPr>
        <w:jc w:val="center"/>
        <w:rPr>
          <w:rFonts w:ascii="Arial" w:hAnsi="Arial" w:cs="Arial"/>
          <w:sz w:val="22"/>
        </w:rPr>
      </w:pPr>
      <w:r w:rsidRPr="003F2804">
        <w:rPr>
          <w:rFonts w:ascii="Arial" w:hAnsi="Arial" w:cs="Arial"/>
          <w:sz w:val="22"/>
        </w:rPr>
        <w:t>Fuente: Elaboración propia en base a Base Usuario Ampliada EPH –INDEC- y empalme de series de precios provinciales alternativas.</w:t>
      </w:r>
    </w:p>
    <w:p w:rsidR="00C85658" w:rsidRPr="003F2804" w:rsidRDefault="00C85658" w:rsidP="00C85658">
      <w:pPr>
        <w:rPr>
          <w:rFonts w:ascii="Arial" w:hAnsi="Arial" w:cs="Arial"/>
          <w:b/>
          <w:i/>
          <w:sz w:val="22"/>
          <w:u w:val="single"/>
        </w:rPr>
      </w:pPr>
    </w:p>
    <w:p w:rsidR="00C85658" w:rsidRPr="003F2804" w:rsidRDefault="00C85658" w:rsidP="00C85658">
      <w:pPr>
        <w:rPr>
          <w:rFonts w:ascii="Arial" w:hAnsi="Arial" w:cs="Arial"/>
          <w:b/>
          <w:i/>
          <w:sz w:val="22"/>
          <w:u w:val="single"/>
        </w:rPr>
      </w:pPr>
    </w:p>
    <w:p w:rsidR="00C85658" w:rsidRPr="00C85658" w:rsidRDefault="00C85658" w:rsidP="00C85658">
      <w:pPr>
        <w:jc w:val="both"/>
        <w:rPr>
          <w:rFonts w:cs="Times New Roman"/>
          <w:szCs w:val="24"/>
        </w:rPr>
      </w:pPr>
      <w:r w:rsidRPr="00C85658">
        <w:rPr>
          <w:rFonts w:cs="Times New Roman"/>
          <w:szCs w:val="24"/>
        </w:rPr>
        <w:t xml:space="preserve">Es interesante notar la potencia contenida en una efectiva universalización de las asignaciones familiares por hijo al realizar el siguiente ejercicio: si consideramos que la familia tipo en nuestro país tiene en promedio dos hijos menores de 18 años a su cargo, resulta que, la realización de una efectiva universalización de la asignación familiar por hijo -adecuada en monto y efectivamente universal en su cobertura- implica transferir a los hogares aproximadamente el equivalente al valor de una canasta alimentaria. Para la estimación de mínima, esta política de ingresos implicaría el pago de $2.814,4 siendo que la CBA para la familia tipo es cercana a este monto, del orden de $3.350. Mientras que para la estimación de máxima el monto transferido sería de $3.866 cuando el umbral alimentario de referencia es de $3.976. </w:t>
      </w:r>
    </w:p>
    <w:p w:rsidR="00C85658" w:rsidRPr="00C85658" w:rsidRDefault="00C85658" w:rsidP="00C85658">
      <w:pPr>
        <w:jc w:val="both"/>
        <w:rPr>
          <w:rFonts w:cs="Times New Roman"/>
          <w:szCs w:val="24"/>
        </w:rPr>
      </w:pPr>
    </w:p>
    <w:p w:rsidR="00C85658" w:rsidRPr="00C85658" w:rsidRDefault="00C85658" w:rsidP="00C85658">
      <w:pPr>
        <w:jc w:val="both"/>
        <w:rPr>
          <w:rFonts w:cs="Times New Roman"/>
          <w:b/>
          <w:i/>
          <w:szCs w:val="24"/>
        </w:rPr>
      </w:pPr>
      <w:r w:rsidRPr="00C85658">
        <w:rPr>
          <w:rFonts w:cs="Times New Roman"/>
          <w:b/>
          <w:i/>
          <w:szCs w:val="24"/>
        </w:rPr>
        <w:lastRenderedPageBreak/>
        <w:t>Por lo tanto, lo anterior significa que una verdadera universalización de las asignaciones familiares por hijo, en sintonía con las necesidades básicas de la población infanto-juvenil, supone también eliminar el hambre en la Argentina.</w:t>
      </w:r>
    </w:p>
    <w:p w:rsidR="00C85658" w:rsidRPr="00C85658" w:rsidRDefault="00C85658" w:rsidP="00C85658">
      <w:pPr>
        <w:jc w:val="both"/>
        <w:rPr>
          <w:rFonts w:cs="Times New Roman"/>
          <w:b/>
          <w:i/>
          <w:szCs w:val="24"/>
        </w:rPr>
      </w:pPr>
    </w:p>
    <w:p w:rsidR="00C85658" w:rsidRPr="00C85658" w:rsidRDefault="00C85658" w:rsidP="00C85658">
      <w:pPr>
        <w:rPr>
          <w:rFonts w:cs="Times New Roman"/>
          <w:szCs w:val="24"/>
        </w:rPr>
      </w:pPr>
      <w:r w:rsidRPr="00C85658">
        <w:rPr>
          <w:rFonts w:cs="Times New Roman"/>
          <w:szCs w:val="24"/>
        </w:rPr>
        <w:t xml:space="preserve">Cuadro N º </w:t>
      </w:r>
      <w:r w:rsidR="00615343">
        <w:rPr>
          <w:rFonts w:cs="Times New Roman"/>
          <w:szCs w:val="24"/>
        </w:rPr>
        <w:t>7:</w:t>
      </w:r>
      <w:r w:rsidRPr="00C85658">
        <w:rPr>
          <w:rFonts w:cs="Times New Roman"/>
          <w:szCs w:val="24"/>
        </w:rPr>
        <w:t xml:space="preserve"> Ejercicio de pago de dos asignaciones familiares por hijo en relación al valor de la CBA para una familia tipo. Valores a Mayo 2015.</w:t>
      </w:r>
    </w:p>
    <w:tbl>
      <w:tblPr>
        <w:tblW w:w="7070" w:type="dxa"/>
        <w:jc w:val="center"/>
        <w:tblInd w:w="55" w:type="dxa"/>
        <w:tblCellMar>
          <w:left w:w="70" w:type="dxa"/>
          <w:right w:w="70" w:type="dxa"/>
        </w:tblCellMar>
        <w:tblLook w:val="04A0" w:firstRow="1" w:lastRow="0" w:firstColumn="1" w:lastColumn="0" w:noHBand="0" w:noVBand="1"/>
      </w:tblPr>
      <w:tblGrid>
        <w:gridCol w:w="4410"/>
        <w:gridCol w:w="1460"/>
        <w:gridCol w:w="1220"/>
      </w:tblGrid>
      <w:tr w:rsidR="00C85658" w:rsidRPr="00C85658" w:rsidTr="007865D1">
        <w:trPr>
          <w:trHeight w:val="600"/>
          <w:jc w:val="center"/>
        </w:trPr>
        <w:tc>
          <w:tcPr>
            <w:tcW w:w="4410"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C85658" w:rsidRPr="00C85658" w:rsidRDefault="00C85658" w:rsidP="007865D1">
            <w:pPr>
              <w:jc w:val="center"/>
              <w:rPr>
                <w:rFonts w:cs="Times New Roman"/>
                <w:color w:val="FFFFFF"/>
                <w:szCs w:val="24"/>
                <w:lang w:val="es-ES_tradnl" w:eastAsia="es-ES_tradnl"/>
              </w:rPr>
            </w:pPr>
            <w:r w:rsidRPr="00C85658">
              <w:rPr>
                <w:rFonts w:cs="Times New Roman"/>
                <w:color w:val="FFFFFF"/>
                <w:szCs w:val="24"/>
                <w:lang w:val="es-ES_tradnl" w:eastAsia="es-ES_tradnl"/>
              </w:rPr>
              <w:t> </w:t>
            </w:r>
          </w:p>
        </w:tc>
        <w:tc>
          <w:tcPr>
            <w:tcW w:w="1460" w:type="dxa"/>
            <w:tcBorders>
              <w:top w:val="single" w:sz="4" w:space="0" w:color="auto"/>
              <w:left w:val="nil"/>
              <w:bottom w:val="single" w:sz="4" w:space="0" w:color="auto"/>
              <w:right w:val="single" w:sz="4" w:space="0" w:color="auto"/>
            </w:tcBorders>
            <w:shd w:val="clear" w:color="000000" w:fill="0070C0"/>
            <w:vAlign w:val="bottom"/>
            <w:hideMark/>
          </w:tcPr>
          <w:p w:rsidR="00C85658" w:rsidRPr="00C85658" w:rsidRDefault="00C85658" w:rsidP="007865D1">
            <w:pPr>
              <w:jc w:val="center"/>
              <w:rPr>
                <w:rFonts w:cs="Times New Roman"/>
                <w:color w:val="FFFFFF"/>
                <w:szCs w:val="24"/>
                <w:lang w:val="es-ES_tradnl" w:eastAsia="es-ES_tradnl"/>
              </w:rPr>
            </w:pPr>
            <w:r w:rsidRPr="00C85658">
              <w:rPr>
                <w:rFonts w:cs="Times New Roman"/>
                <w:color w:val="FFFFFF"/>
                <w:szCs w:val="24"/>
                <w:lang w:val="es-ES_tradnl" w:eastAsia="es-ES_tradnl"/>
              </w:rPr>
              <w:t>Estimación Máxima</w:t>
            </w:r>
          </w:p>
        </w:tc>
        <w:tc>
          <w:tcPr>
            <w:tcW w:w="1200" w:type="dxa"/>
            <w:tcBorders>
              <w:top w:val="single" w:sz="4" w:space="0" w:color="auto"/>
              <w:left w:val="nil"/>
              <w:bottom w:val="single" w:sz="4" w:space="0" w:color="auto"/>
              <w:right w:val="single" w:sz="4" w:space="0" w:color="auto"/>
            </w:tcBorders>
            <w:shd w:val="clear" w:color="000000" w:fill="0070C0"/>
            <w:vAlign w:val="bottom"/>
            <w:hideMark/>
          </w:tcPr>
          <w:p w:rsidR="00C85658" w:rsidRPr="00C85658" w:rsidRDefault="00C85658" w:rsidP="007865D1">
            <w:pPr>
              <w:jc w:val="center"/>
              <w:rPr>
                <w:rFonts w:cs="Times New Roman"/>
                <w:color w:val="FFFFFF"/>
                <w:szCs w:val="24"/>
                <w:lang w:val="es-ES_tradnl" w:eastAsia="es-ES_tradnl"/>
              </w:rPr>
            </w:pPr>
            <w:r w:rsidRPr="00C85658">
              <w:rPr>
                <w:rFonts w:cs="Times New Roman"/>
                <w:color w:val="FFFFFF"/>
                <w:szCs w:val="24"/>
                <w:lang w:val="es-ES_tradnl" w:eastAsia="es-ES_tradnl"/>
              </w:rPr>
              <w:t>Estimación Mínima</w:t>
            </w:r>
          </w:p>
        </w:tc>
      </w:tr>
      <w:tr w:rsidR="00C85658" w:rsidRPr="003F2804" w:rsidTr="007865D1">
        <w:trPr>
          <w:trHeight w:val="300"/>
          <w:jc w:val="center"/>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C85658" w:rsidRPr="003F2804" w:rsidRDefault="00C85658" w:rsidP="007865D1">
            <w:pPr>
              <w:rPr>
                <w:rFonts w:ascii="Arial" w:hAnsi="Arial" w:cs="Arial"/>
                <w:color w:val="000000"/>
                <w:lang w:val="es-ES_tradnl" w:eastAsia="es-ES_tradnl"/>
              </w:rPr>
            </w:pPr>
            <w:r w:rsidRPr="003F2804">
              <w:rPr>
                <w:rFonts w:ascii="Arial" w:hAnsi="Arial" w:cs="Arial"/>
                <w:color w:val="000000"/>
                <w:sz w:val="22"/>
                <w:lang w:val="es-ES_tradnl" w:eastAsia="es-ES_tradnl"/>
              </w:rPr>
              <w:t>Dos * Asignaciones por Hijo Universales</w:t>
            </w:r>
          </w:p>
        </w:tc>
        <w:tc>
          <w:tcPr>
            <w:tcW w:w="1460" w:type="dxa"/>
            <w:tcBorders>
              <w:top w:val="nil"/>
              <w:left w:val="nil"/>
              <w:bottom w:val="single" w:sz="4" w:space="0" w:color="auto"/>
              <w:right w:val="single" w:sz="4" w:space="0" w:color="auto"/>
            </w:tcBorders>
            <w:shd w:val="clear" w:color="auto" w:fill="auto"/>
            <w:noWrap/>
            <w:vAlign w:val="bottom"/>
            <w:hideMark/>
          </w:tcPr>
          <w:p w:rsidR="00C85658" w:rsidRPr="003F2804" w:rsidRDefault="00C85658" w:rsidP="007865D1">
            <w:pPr>
              <w:jc w:val="right"/>
              <w:rPr>
                <w:rFonts w:ascii="Arial" w:hAnsi="Arial" w:cs="Arial"/>
                <w:color w:val="000000"/>
                <w:lang w:val="es-ES_tradnl" w:eastAsia="es-ES_tradnl"/>
              </w:rPr>
            </w:pPr>
            <w:r w:rsidRPr="003F2804">
              <w:rPr>
                <w:rFonts w:ascii="Arial" w:hAnsi="Arial" w:cs="Arial"/>
                <w:color w:val="000000"/>
                <w:sz w:val="22"/>
                <w:lang w:val="es-ES_tradnl" w:eastAsia="es-ES_tradnl"/>
              </w:rPr>
              <w:t>$ 3.866,0</w:t>
            </w:r>
          </w:p>
        </w:tc>
        <w:tc>
          <w:tcPr>
            <w:tcW w:w="1200" w:type="dxa"/>
            <w:tcBorders>
              <w:top w:val="nil"/>
              <w:left w:val="nil"/>
              <w:bottom w:val="single" w:sz="4" w:space="0" w:color="auto"/>
              <w:right w:val="single" w:sz="4" w:space="0" w:color="auto"/>
            </w:tcBorders>
            <w:shd w:val="clear" w:color="auto" w:fill="auto"/>
            <w:noWrap/>
            <w:vAlign w:val="bottom"/>
            <w:hideMark/>
          </w:tcPr>
          <w:p w:rsidR="00C85658" w:rsidRPr="003F2804" w:rsidRDefault="00C85658" w:rsidP="007865D1">
            <w:pPr>
              <w:jc w:val="right"/>
              <w:rPr>
                <w:rFonts w:ascii="Arial" w:hAnsi="Arial" w:cs="Arial"/>
                <w:color w:val="000000"/>
                <w:lang w:val="es-ES_tradnl" w:eastAsia="es-ES_tradnl"/>
              </w:rPr>
            </w:pPr>
            <w:r w:rsidRPr="003F2804">
              <w:rPr>
                <w:rFonts w:ascii="Arial" w:hAnsi="Arial" w:cs="Arial"/>
                <w:color w:val="000000"/>
                <w:sz w:val="22"/>
                <w:lang w:val="es-ES_tradnl" w:eastAsia="es-ES_tradnl"/>
              </w:rPr>
              <w:t>$ 2.814,4</w:t>
            </w:r>
          </w:p>
        </w:tc>
      </w:tr>
      <w:tr w:rsidR="00C85658" w:rsidRPr="003F2804" w:rsidTr="007865D1">
        <w:trPr>
          <w:trHeight w:val="300"/>
          <w:jc w:val="center"/>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C85658" w:rsidRPr="003F2804" w:rsidRDefault="00C85658" w:rsidP="007865D1">
            <w:pPr>
              <w:rPr>
                <w:rFonts w:ascii="Arial" w:hAnsi="Arial" w:cs="Arial"/>
                <w:color w:val="000000"/>
                <w:lang w:val="es-ES_tradnl" w:eastAsia="es-ES_tradnl"/>
              </w:rPr>
            </w:pPr>
            <w:r w:rsidRPr="003F2804">
              <w:rPr>
                <w:rFonts w:ascii="Arial" w:hAnsi="Arial" w:cs="Arial"/>
                <w:color w:val="000000"/>
                <w:sz w:val="22"/>
                <w:lang w:val="es-ES_tradnl" w:eastAsia="es-ES_tradnl"/>
              </w:rPr>
              <w:t xml:space="preserve">CBA para una Familia Tipo = Línea de Indigencia </w:t>
            </w:r>
          </w:p>
        </w:tc>
        <w:tc>
          <w:tcPr>
            <w:tcW w:w="1460" w:type="dxa"/>
            <w:tcBorders>
              <w:top w:val="nil"/>
              <w:left w:val="nil"/>
              <w:bottom w:val="single" w:sz="4" w:space="0" w:color="auto"/>
              <w:right w:val="single" w:sz="4" w:space="0" w:color="auto"/>
            </w:tcBorders>
            <w:shd w:val="clear" w:color="auto" w:fill="auto"/>
            <w:noWrap/>
            <w:vAlign w:val="bottom"/>
            <w:hideMark/>
          </w:tcPr>
          <w:p w:rsidR="00C85658" w:rsidRPr="003F2804" w:rsidRDefault="00C85658" w:rsidP="007865D1">
            <w:pPr>
              <w:jc w:val="right"/>
              <w:rPr>
                <w:rFonts w:ascii="Arial" w:hAnsi="Arial" w:cs="Arial"/>
                <w:color w:val="000000"/>
                <w:lang w:val="es-ES_tradnl" w:eastAsia="es-ES_tradnl"/>
              </w:rPr>
            </w:pPr>
            <w:r w:rsidRPr="003F2804">
              <w:rPr>
                <w:rFonts w:ascii="Arial" w:hAnsi="Arial" w:cs="Arial"/>
                <w:color w:val="000000"/>
                <w:sz w:val="22"/>
                <w:lang w:val="es-ES_tradnl" w:eastAsia="es-ES_tradnl"/>
              </w:rPr>
              <w:t>$ 3.976,1</w:t>
            </w:r>
          </w:p>
        </w:tc>
        <w:tc>
          <w:tcPr>
            <w:tcW w:w="1200" w:type="dxa"/>
            <w:tcBorders>
              <w:top w:val="nil"/>
              <w:left w:val="nil"/>
              <w:bottom w:val="single" w:sz="4" w:space="0" w:color="auto"/>
              <w:right w:val="single" w:sz="4" w:space="0" w:color="auto"/>
            </w:tcBorders>
            <w:shd w:val="clear" w:color="auto" w:fill="auto"/>
            <w:noWrap/>
            <w:vAlign w:val="bottom"/>
            <w:hideMark/>
          </w:tcPr>
          <w:p w:rsidR="00C85658" w:rsidRPr="003F2804" w:rsidRDefault="00C85658" w:rsidP="007865D1">
            <w:pPr>
              <w:jc w:val="right"/>
              <w:rPr>
                <w:rFonts w:ascii="Arial" w:hAnsi="Arial" w:cs="Arial"/>
                <w:color w:val="000000"/>
                <w:lang w:val="es-ES_tradnl" w:eastAsia="es-ES_tradnl"/>
              </w:rPr>
            </w:pPr>
            <w:r w:rsidRPr="003F2804">
              <w:rPr>
                <w:rFonts w:ascii="Arial" w:hAnsi="Arial" w:cs="Arial"/>
                <w:color w:val="000000"/>
                <w:sz w:val="22"/>
                <w:lang w:val="es-ES_tradnl" w:eastAsia="es-ES_tradnl"/>
              </w:rPr>
              <w:t>$ 3.343,7</w:t>
            </w:r>
          </w:p>
        </w:tc>
      </w:tr>
    </w:tbl>
    <w:p w:rsidR="00C85658" w:rsidRPr="003F2804" w:rsidRDefault="00C85658" w:rsidP="00C85658">
      <w:pPr>
        <w:jc w:val="center"/>
        <w:rPr>
          <w:rFonts w:ascii="Arial" w:hAnsi="Arial" w:cs="Arial"/>
          <w:sz w:val="22"/>
        </w:rPr>
      </w:pPr>
      <w:r w:rsidRPr="003F2804">
        <w:rPr>
          <w:rFonts w:ascii="Arial" w:hAnsi="Arial" w:cs="Arial"/>
          <w:sz w:val="22"/>
        </w:rPr>
        <w:t>Fuente: Elaboración propia en base a Base Usuario Ampliada EPH –INDEC- y empalme de series de precios provinciales alternativas.</w:t>
      </w:r>
    </w:p>
    <w:p w:rsidR="00C920F8" w:rsidRDefault="00C920F8" w:rsidP="007865D1">
      <w:pPr>
        <w:rPr>
          <w:b/>
          <w:i/>
          <w:sz w:val="28"/>
          <w:szCs w:val="28"/>
          <w:u w:val="single"/>
        </w:rPr>
      </w:pPr>
    </w:p>
    <w:p w:rsidR="00C920F8" w:rsidRDefault="00C920F8"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615343" w:rsidRDefault="00615343" w:rsidP="007865D1">
      <w:pPr>
        <w:rPr>
          <w:b/>
          <w:i/>
          <w:sz w:val="28"/>
          <w:szCs w:val="28"/>
          <w:u w:val="single"/>
        </w:rPr>
      </w:pPr>
    </w:p>
    <w:p w:rsidR="007865D1" w:rsidRDefault="00E32F49" w:rsidP="007865D1">
      <w:pPr>
        <w:jc w:val="both"/>
        <w:rPr>
          <w:i/>
          <w:u w:val="single"/>
        </w:rPr>
      </w:pPr>
      <w:r>
        <w:rPr>
          <w:i/>
          <w:u w:val="single"/>
        </w:rPr>
        <w:lastRenderedPageBreak/>
        <w:t xml:space="preserve">Nuestra </w:t>
      </w:r>
      <w:r w:rsidR="007865D1">
        <w:rPr>
          <w:i/>
          <w:u w:val="single"/>
        </w:rPr>
        <w:t>propuesta</w:t>
      </w:r>
      <w:r>
        <w:rPr>
          <w:i/>
          <w:u w:val="single"/>
        </w:rPr>
        <w:t>:</w:t>
      </w:r>
      <w:r w:rsidR="007865D1">
        <w:rPr>
          <w:i/>
          <w:u w:val="single"/>
        </w:rPr>
        <w:t xml:space="preserve"> Unificación y Universalización del Sistema de Asignaciones Familiares </w:t>
      </w:r>
    </w:p>
    <w:p w:rsidR="007865D1" w:rsidRDefault="007865D1" w:rsidP="007865D1">
      <w:pPr>
        <w:jc w:val="both"/>
        <w:rPr>
          <w:rFonts w:eastAsia="Calibri"/>
        </w:rPr>
      </w:pPr>
    </w:p>
    <w:p w:rsidR="007865D1" w:rsidRDefault="007865D1" w:rsidP="007865D1">
      <w:pPr>
        <w:jc w:val="both"/>
      </w:pPr>
      <w:r>
        <w:t>L</w:t>
      </w:r>
      <w:r w:rsidRPr="008F2630">
        <w:t xml:space="preserve">a </w:t>
      </w:r>
      <w:r>
        <w:t xml:space="preserve">propuesta de </w:t>
      </w:r>
      <w:r w:rsidRPr="008F2630">
        <w:t>Unificación</w:t>
      </w:r>
      <w:r>
        <w:t xml:space="preserve"> del Régimen de Asignaciones F</w:t>
      </w:r>
      <w:r w:rsidRPr="008F2630">
        <w:t xml:space="preserve">amiliares </w:t>
      </w:r>
      <w:r>
        <w:t>implica la creación</w:t>
      </w:r>
      <w:r w:rsidRPr="008F2630">
        <w:t xml:space="preserve"> un verdadero sistema UNIVERSAL otorgando cobe</w:t>
      </w:r>
      <w:r>
        <w:t>rtura a todos los niños, niñas,</w:t>
      </w:r>
      <w:r w:rsidRPr="008F2630">
        <w:t xml:space="preserve"> adolescentes</w:t>
      </w:r>
      <w:r>
        <w:t xml:space="preserve"> y mujeres embarazadas</w:t>
      </w:r>
      <w:r w:rsidRPr="008F2630">
        <w:t xml:space="preserve"> que habitan en nuestro país, garantizando igualdad de montos</w:t>
      </w:r>
      <w:r w:rsidRPr="008F2630">
        <w:rPr>
          <w:rStyle w:val="Refdenotaalpie"/>
        </w:rPr>
        <w:footnoteReference w:id="4"/>
      </w:r>
      <w:r w:rsidRPr="008F2630">
        <w:t xml:space="preserve"> y trato a </w:t>
      </w:r>
      <w:r>
        <w:t>cada uno de</w:t>
      </w:r>
      <w:r w:rsidRPr="008F2630">
        <w:t xml:space="preserve"> los titulares y receptores del derecho. Esta es una diferencia fundamental con respecto a </w:t>
      </w:r>
      <w:smartTag w:uri="urn:schemas-microsoft-com:office:smarttags" w:element="PersonName">
        <w:smartTagPr>
          <w:attr w:name="ProductID" w:val="la Asignaci￳n Universal"/>
        </w:smartTagPr>
        <w:r w:rsidRPr="008F2630">
          <w:t xml:space="preserve">la </w:t>
        </w:r>
        <w:r>
          <w:t>Asignación Universal</w:t>
        </w:r>
      </w:smartTag>
      <w:r>
        <w:t xml:space="preserve"> por Hijo (</w:t>
      </w:r>
      <w:r w:rsidRPr="005A5025">
        <w:t>AUH</w:t>
      </w:r>
      <w:r>
        <w:t xml:space="preserve">) y </w:t>
      </w:r>
      <w:smartTag w:uri="urn:schemas-microsoft-com:office:smarttags" w:element="PersonName">
        <w:smartTagPr>
          <w:attr w:name="ProductID" w:val="la Asignaci￳n Universal"/>
        </w:smartTagPr>
        <w:r>
          <w:t>la Asignación Universal</w:t>
        </w:r>
      </w:smartTag>
      <w:r>
        <w:t xml:space="preserve"> por Embarazo (AUE) </w:t>
      </w:r>
      <w:r w:rsidRPr="008F2630">
        <w:t>que mantiene prestaciones diferenciadas en función de las condiciones laborales</w:t>
      </w:r>
      <w:r>
        <w:t xml:space="preserve">. </w:t>
      </w:r>
    </w:p>
    <w:p w:rsidR="007865D1" w:rsidRDefault="007865D1" w:rsidP="007865D1">
      <w:pPr>
        <w:jc w:val="both"/>
      </w:pPr>
    </w:p>
    <w:p w:rsidR="007865D1" w:rsidRDefault="007865D1" w:rsidP="007865D1">
      <w:pPr>
        <w:jc w:val="both"/>
      </w:pPr>
      <w:r>
        <w:t xml:space="preserve">En vistas a la situación de exclusión evidenciada aquí se propone universalizar las siguientes prestaciones: </w:t>
      </w:r>
    </w:p>
    <w:p w:rsidR="007865D1" w:rsidRPr="008F2630" w:rsidRDefault="007865D1" w:rsidP="007865D1">
      <w:pPr>
        <w:pStyle w:val="NormalWeb"/>
        <w:numPr>
          <w:ilvl w:val="0"/>
          <w:numId w:val="6"/>
        </w:numPr>
        <w:spacing w:before="0" w:beforeAutospacing="0" w:after="0" w:afterAutospacing="0"/>
        <w:jc w:val="both"/>
        <w:rPr>
          <w:rFonts w:ascii="Times New Roman" w:hAnsi="Times New Roman"/>
          <w:i/>
        </w:rPr>
      </w:pPr>
      <w:r w:rsidRPr="008F2630">
        <w:rPr>
          <w:rFonts w:ascii="Times New Roman" w:hAnsi="Times New Roman"/>
          <w:i/>
        </w:rPr>
        <w:t xml:space="preserve">Asignación universal por niño, niña y adolescente. </w:t>
      </w:r>
    </w:p>
    <w:p w:rsidR="007865D1" w:rsidRPr="00BA299C" w:rsidRDefault="007865D1" w:rsidP="007865D1">
      <w:pPr>
        <w:pStyle w:val="NormalWeb"/>
        <w:numPr>
          <w:ilvl w:val="0"/>
          <w:numId w:val="6"/>
        </w:numPr>
        <w:spacing w:before="0" w:beforeAutospacing="0" w:after="0" w:afterAutospacing="0"/>
        <w:jc w:val="both"/>
        <w:rPr>
          <w:rFonts w:ascii="Times New Roman" w:hAnsi="Times New Roman"/>
          <w:i/>
        </w:rPr>
      </w:pPr>
      <w:r w:rsidRPr="00BA299C">
        <w:rPr>
          <w:rFonts w:ascii="Times New Roman" w:hAnsi="Times New Roman"/>
          <w:i/>
        </w:rPr>
        <w:t xml:space="preserve">Asignación universal por </w:t>
      </w:r>
      <w:r>
        <w:rPr>
          <w:rFonts w:ascii="Times New Roman" w:hAnsi="Times New Roman"/>
          <w:i/>
        </w:rPr>
        <w:t>persona</w:t>
      </w:r>
      <w:r w:rsidRPr="00BA299C">
        <w:rPr>
          <w:rFonts w:ascii="Times New Roman" w:hAnsi="Times New Roman"/>
          <w:i/>
        </w:rPr>
        <w:t xml:space="preserve"> con discapacidad.</w:t>
      </w:r>
    </w:p>
    <w:p w:rsidR="007865D1" w:rsidRPr="00BA299C" w:rsidRDefault="007865D1" w:rsidP="007865D1">
      <w:pPr>
        <w:pStyle w:val="NormalWeb"/>
        <w:numPr>
          <w:ilvl w:val="0"/>
          <w:numId w:val="6"/>
        </w:numPr>
        <w:spacing w:before="0" w:beforeAutospacing="0" w:after="0" w:afterAutospacing="0"/>
        <w:jc w:val="both"/>
        <w:rPr>
          <w:rFonts w:ascii="Times New Roman" w:hAnsi="Times New Roman"/>
          <w:i/>
        </w:rPr>
      </w:pPr>
      <w:r w:rsidRPr="00BA299C">
        <w:rPr>
          <w:rFonts w:ascii="Times New Roman" w:hAnsi="Times New Roman"/>
          <w:i/>
        </w:rPr>
        <w:t>Asignación universal por ayuda escolar anual para la educación básica y polimodal.</w:t>
      </w:r>
    </w:p>
    <w:p w:rsidR="007865D1" w:rsidRPr="00BA299C" w:rsidRDefault="007865D1" w:rsidP="007865D1">
      <w:pPr>
        <w:pStyle w:val="NormalWeb"/>
        <w:numPr>
          <w:ilvl w:val="0"/>
          <w:numId w:val="6"/>
        </w:numPr>
        <w:spacing w:before="0" w:beforeAutospacing="0" w:after="0" w:afterAutospacing="0"/>
        <w:jc w:val="both"/>
        <w:rPr>
          <w:rFonts w:ascii="Times New Roman" w:hAnsi="Times New Roman"/>
          <w:i/>
        </w:rPr>
      </w:pPr>
      <w:r w:rsidRPr="00BA299C">
        <w:rPr>
          <w:rFonts w:ascii="Times New Roman" w:hAnsi="Times New Roman"/>
          <w:i/>
        </w:rPr>
        <w:t>Asignación universal por nacimiento</w:t>
      </w:r>
      <w:r w:rsidRPr="00BA299C">
        <w:rPr>
          <w:rFonts w:ascii="Times New Roman" w:hAnsi="Times New Roman"/>
        </w:rPr>
        <w:t xml:space="preserve">. </w:t>
      </w:r>
    </w:p>
    <w:p w:rsidR="007865D1" w:rsidRPr="00BA299C" w:rsidRDefault="007865D1" w:rsidP="007865D1">
      <w:pPr>
        <w:pStyle w:val="NormalWeb"/>
        <w:numPr>
          <w:ilvl w:val="0"/>
          <w:numId w:val="6"/>
        </w:numPr>
        <w:spacing w:before="0" w:beforeAutospacing="0" w:after="0" w:afterAutospacing="0"/>
        <w:jc w:val="both"/>
        <w:rPr>
          <w:rFonts w:ascii="Times New Roman" w:hAnsi="Times New Roman"/>
          <w:i/>
        </w:rPr>
      </w:pPr>
      <w:r w:rsidRPr="00BA299C">
        <w:rPr>
          <w:rFonts w:ascii="Times New Roman" w:hAnsi="Times New Roman"/>
          <w:i/>
        </w:rPr>
        <w:t>Asignación universal prenatal</w:t>
      </w:r>
      <w:r>
        <w:rPr>
          <w:rFonts w:ascii="Times New Roman" w:hAnsi="Times New Roman"/>
          <w:i/>
        </w:rPr>
        <w:t>.</w:t>
      </w:r>
    </w:p>
    <w:p w:rsidR="007865D1" w:rsidRDefault="007865D1" w:rsidP="007865D1">
      <w:pPr>
        <w:pStyle w:val="NormalWeb"/>
        <w:spacing w:before="0" w:beforeAutospacing="0" w:after="0" w:afterAutospacing="0"/>
        <w:jc w:val="both"/>
        <w:rPr>
          <w:rFonts w:ascii="Times New Roman" w:hAnsi="Times New Roman"/>
          <w:i/>
        </w:rPr>
      </w:pPr>
    </w:p>
    <w:p w:rsidR="00E32F49" w:rsidRDefault="00E32F49" w:rsidP="007865D1">
      <w:pPr>
        <w:jc w:val="both"/>
      </w:pPr>
    </w:p>
    <w:p w:rsidR="007865D1" w:rsidRDefault="007865D1" w:rsidP="007865D1">
      <w:pPr>
        <w:jc w:val="both"/>
      </w:pPr>
      <w:r w:rsidRPr="0068092D">
        <w:t xml:space="preserve">Los valores de transferencia serán los máximos establecidos por zona eliminándose los tramos de ingresos vigentes. </w:t>
      </w:r>
    </w:p>
    <w:p w:rsidR="007865D1" w:rsidRPr="006B3754" w:rsidRDefault="007865D1" w:rsidP="007865D1">
      <w:pPr>
        <w:jc w:val="both"/>
        <w:rPr>
          <w:b/>
        </w:rPr>
      </w:pPr>
      <w:r w:rsidRPr="005C2154">
        <w:t>En base a los valores vigentes a Diciembre de 2015, estos serían los montos de las prestaciones:</w:t>
      </w:r>
    </w:p>
    <w:p w:rsidR="007865D1" w:rsidRDefault="007865D1" w:rsidP="007865D1">
      <w:pPr>
        <w:jc w:val="both"/>
      </w:pPr>
    </w:p>
    <w:p w:rsidR="007865D1" w:rsidRDefault="007865D1" w:rsidP="007865D1">
      <w:pPr>
        <w:jc w:val="both"/>
      </w:pPr>
    </w:p>
    <w:p w:rsidR="007865D1" w:rsidRDefault="007865D1" w:rsidP="007865D1">
      <w:pPr>
        <w:jc w:val="both"/>
      </w:pPr>
      <w:r>
        <w:t xml:space="preserve">Cuadro N º </w:t>
      </w:r>
      <w:r w:rsidR="00615343">
        <w:t>8</w:t>
      </w:r>
      <w:r w:rsidRPr="006B3754">
        <w:t>: Montos de las prestaciones propuestas.</w:t>
      </w:r>
    </w:p>
    <w:tbl>
      <w:tblPr>
        <w:tblW w:w="8014" w:type="dxa"/>
        <w:jc w:val="center"/>
        <w:tblInd w:w="65" w:type="dxa"/>
        <w:tblCellMar>
          <w:left w:w="70" w:type="dxa"/>
          <w:right w:w="70" w:type="dxa"/>
        </w:tblCellMar>
        <w:tblLook w:val="04A0" w:firstRow="1" w:lastRow="0" w:firstColumn="1" w:lastColumn="0" w:noHBand="0" w:noVBand="1"/>
      </w:tblPr>
      <w:tblGrid>
        <w:gridCol w:w="2557"/>
        <w:gridCol w:w="1276"/>
        <w:gridCol w:w="850"/>
        <w:gridCol w:w="851"/>
        <w:gridCol w:w="1417"/>
        <w:gridCol w:w="1063"/>
      </w:tblGrid>
      <w:tr w:rsidR="007865D1" w:rsidRPr="00DF0C5D" w:rsidTr="00E32F49">
        <w:trPr>
          <w:trHeight w:val="300"/>
          <w:jc w:val="center"/>
        </w:trPr>
        <w:tc>
          <w:tcPr>
            <w:tcW w:w="2557" w:type="dxa"/>
            <w:tcBorders>
              <w:top w:val="single" w:sz="4" w:space="0" w:color="auto"/>
              <w:left w:val="single" w:sz="4" w:space="0" w:color="auto"/>
              <w:bottom w:val="single" w:sz="4" w:space="0" w:color="auto"/>
              <w:right w:val="single" w:sz="4" w:space="0" w:color="auto"/>
            </w:tcBorders>
            <w:shd w:val="clear" w:color="000000" w:fill="0070C0"/>
            <w:hideMark/>
          </w:tcPr>
          <w:p w:rsidR="007865D1" w:rsidRPr="00DF0C5D" w:rsidRDefault="007865D1" w:rsidP="007865D1">
            <w:pPr>
              <w:jc w:val="both"/>
              <w:rPr>
                <w:rFonts w:ascii="Arial" w:hAnsi="Arial" w:cs="Arial"/>
                <w:color w:val="FFFFFF"/>
                <w:sz w:val="20"/>
                <w:szCs w:val="20"/>
                <w:lang w:val="es-ES_tradnl" w:eastAsia="es-ES_tradnl"/>
              </w:rPr>
            </w:pPr>
            <w:r w:rsidRPr="00DF0C5D">
              <w:rPr>
                <w:rFonts w:ascii="Arial" w:hAnsi="Arial" w:cs="Arial"/>
                <w:color w:val="FFFFFF"/>
                <w:sz w:val="20"/>
                <w:szCs w:val="20"/>
                <w:lang w:val="es-ES_tradnl" w:eastAsia="es-ES_tradnl"/>
              </w:rPr>
              <w:t> </w:t>
            </w:r>
          </w:p>
        </w:tc>
        <w:tc>
          <w:tcPr>
            <w:tcW w:w="5457" w:type="dxa"/>
            <w:gridSpan w:val="5"/>
            <w:tcBorders>
              <w:top w:val="single" w:sz="4" w:space="0" w:color="auto"/>
              <w:left w:val="nil"/>
              <w:bottom w:val="single" w:sz="4" w:space="0" w:color="auto"/>
              <w:right w:val="single" w:sz="4" w:space="0" w:color="auto"/>
            </w:tcBorders>
            <w:shd w:val="clear" w:color="000000" w:fill="0070C0"/>
            <w:hideMark/>
          </w:tcPr>
          <w:p w:rsidR="007865D1" w:rsidRPr="00DF0C5D" w:rsidRDefault="007865D1" w:rsidP="007865D1">
            <w:pPr>
              <w:jc w:val="center"/>
              <w:rPr>
                <w:rFonts w:ascii="Arial" w:hAnsi="Arial" w:cs="Arial"/>
                <w:color w:val="FFFFFF"/>
                <w:sz w:val="20"/>
                <w:szCs w:val="20"/>
                <w:lang w:val="es-ES_tradnl" w:eastAsia="es-ES_tradnl"/>
              </w:rPr>
            </w:pPr>
            <w:r w:rsidRPr="00DF0C5D">
              <w:rPr>
                <w:rFonts w:ascii="Arial" w:hAnsi="Arial" w:cs="Arial"/>
                <w:color w:val="FFFFFF"/>
                <w:sz w:val="20"/>
                <w:szCs w:val="20"/>
                <w:lang w:val="es-ES_tradnl" w:eastAsia="es-ES_tradnl"/>
              </w:rPr>
              <w:t>Monto de la prestación</w:t>
            </w:r>
          </w:p>
        </w:tc>
      </w:tr>
      <w:tr w:rsidR="007865D1" w:rsidRPr="00DF0C5D" w:rsidTr="00E32F49">
        <w:trPr>
          <w:trHeight w:val="555"/>
          <w:jc w:val="center"/>
        </w:trPr>
        <w:tc>
          <w:tcPr>
            <w:tcW w:w="2557" w:type="dxa"/>
            <w:tcBorders>
              <w:top w:val="nil"/>
              <w:left w:val="single" w:sz="4" w:space="0" w:color="auto"/>
              <w:bottom w:val="single" w:sz="4" w:space="0" w:color="auto"/>
              <w:right w:val="single" w:sz="4" w:space="0" w:color="auto"/>
            </w:tcBorders>
            <w:shd w:val="clear" w:color="auto" w:fill="auto"/>
            <w:vAlign w:val="bottom"/>
            <w:hideMark/>
          </w:tcPr>
          <w:p w:rsidR="007865D1" w:rsidRPr="00DF0C5D" w:rsidRDefault="007865D1" w:rsidP="00E32F49">
            <w:pPr>
              <w:jc w:val="center"/>
              <w:rPr>
                <w:rFonts w:ascii="Arial" w:hAnsi="Arial" w:cs="Arial"/>
                <w:b/>
                <w:bCs/>
                <w:color w:val="000000"/>
                <w:sz w:val="20"/>
                <w:szCs w:val="20"/>
                <w:lang w:val="es-ES_tradnl" w:eastAsia="es-ES_tradnl"/>
              </w:rPr>
            </w:pPr>
            <w:r w:rsidRPr="00DF0C5D">
              <w:rPr>
                <w:rFonts w:ascii="Arial" w:hAnsi="Arial" w:cs="Arial"/>
                <w:b/>
                <w:bCs/>
                <w:color w:val="000000"/>
                <w:sz w:val="20"/>
                <w:szCs w:val="20"/>
                <w:lang w:val="es-ES_tradnl" w:eastAsia="es-ES_tradnl"/>
              </w:rPr>
              <w:t>Tipo de asignación</w:t>
            </w:r>
          </w:p>
        </w:tc>
        <w:tc>
          <w:tcPr>
            <w:tcW w:w="1276"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center"/>
              <w:rPr>
                <w:rFonts w:ascii="Arial" w:hAnsi="Arial" w:cs="Arial"/>
                <w:b/>
                <w:bCs/>
                <w:color w:val="000000"/>
                <w:sz w:val="20"/>
                <w:szCs w:val="20"/>
                <w:lang w:val="es-ES_tradnl" w:eastAsia="es-ES_tradnl"/>
              </w:rPr>
            </w:pPr>
            <w:r w:rsidRPr="00DF0C5D">
              <w:rPr>
                <w:rFonts w:ascii="Arial" w:hAnsi="Arial" w:cs="Arial"/>
                <w:b/>
                <w:bCs/>
                <w:color w:val="000000"/>
                <w:sz w:val="20"/>
                <w:szCs w:val="20"/>
                <w:lang w:val="es-ES_tradnl" w:eastAsia="es-ES_tradnl"/>
              </w:rPr>
              <w:t>Valor general</w:t>
            </w:r>
          </w:p>
        </w:tc>
        <w:tc>
          <w:tcPr>
            <w:tcW w:w="850"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center"/>
              <w:rPr>
                <w:rFonts w:ascii="Arial" w:hAnsi="Arial" w:cs="Arial"/>
                <w:b/>
                <w:bCs/>
                <w:color w:val="000000"/>
                <w:sz w:val="20"/>
                <w:szCs w:val="20"/>
                <w:lang w:val="es-ES_tradnl" w:eastAsia="es-ES_tradnl"/>
              </w:rPr>
            </w:pPr>
            <w:r w:rsidRPr="00DF0C5D">
              <w:rPr>
                <w:rFonts w:ascii="Arial" w:hAnsi="Arial" w:cs="Arial"/>
                <w:b/>
                <w:bCs/>
                <w:color w:val="000000"/>
                <w:sz w:val="20"/>
                <w:szCs w:val="20"/>
                <w:lang w:val="es-ES_tradnl" w:eastAsia="es-ES_tradnl"/>
              </w:rPr>
              <w:t>Zona 1</w:t>
            </w:r>
          </w:p>
        </w:tc>
        <w:tc>
          <w:tcPr>
            <w:tcW w:w="851"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center"/>
              <w:rPr>
                <w:rFonts w:ascii="Arial" w:hAnsi="Arial" w:cs="Arial"/>
                <w:b/>
                <w:bCs/>
                <w:color w:val="000000"/>
                <w:sz w:val="20"/>
                <w:szCs w:val="20"/>
                <w:lang w:val="es-ES_tradnl" w:eastAsia="es-ES_tradnl"/>
              </w:rPr>
            </w:pPr>
            <w:r w:rsidRPr="00DF0C5D">
              <w:rPr>
                <w:rFonts w:ascii="Arial" w:hAnsi="Arial" w:cs="Arial"/>
                <w:b/>
                <w:bCs/>
                <w:color w:val="000000"/>
                <w:sz w:val="20"/>
                <w:szCs w:val="20"/>
                <w:lang w:val="es-ES_tradnl" w:eastAsia="es-ES_tradnl"/>
              </w:rPr>
              <w:t>Zona 2</w:t>
            </w:r>
          </w:p>
        </w:tc>
        <w:tc>
          <w:tcPr>
            <w:tcW w:w="1417"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center"/>
              <w:rPr>
                <w:rFonts w:ascii="Arial" w:hAnsi="Arial" w:cs="Arial"/>
                <w:b/>
                <w:bCs/>
                <w:color w:val="000000"/>
                <w:sz w:val="20"/>
                <w:szCs w:val="20"/>
                <w:lang w:val="es-ES_tradnl" w:eastAsia="es-ES_tradnl"/>
              </w:rPr>
            </w:pPr>
            <w:r w:rsidRPr="00DF0C5D">
              <w:rPr>
                <w:rFonts w:ascii="Arial" w:hAnsi="Arial" w:cs="Arial"/>
                <w:b/>
                <w:bCs/>
                <w:color w:val="000000"/>
                <w:sz w:val="20"/>
                <w:szCs w:val="20"/>
                <w:lang w:val="es-ES_tradnl" w:eastAsia="es-ES_tradnl"/>
              </w:rPr>
              <w:t>Zona 3</w:t>
            </w:r>
          </w:p>
        </w:tc>
        <w:tc>
          <w:tcPr>
            <w:tcW w:w="1063"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center"/>
              <w:rPr>
                <w:rFonts w:ascii="Arial" w:hAnsi="Arial" w:cs="Arial"/>
                <w:b/>
                <w:bCs/>
                <w:color w:val="000000"/>
                <w:sz w:val="20"/>
                <w:szCs w:val="20"/>
                <w:lang w:val="es-ES_tradnl" w:eastAsia="es-ES_tradnl"/>
              </w:rPr>
            </w:pPr>
            <w:r w:rsidRPr="00DF0C5D">
              <w:rPr>
                <w:rFonts w:ascii="Arial" w:hAnsi="Arial" w:cs="Arial"/>
                <w:b/>
                <w:bCs/>
                <w:color w:val="000000"/>
                <w:sz w:val="20"/>
                <w:szCs w:val="20"/>
                <w:lang w:val="es-ES_tradnl" w:eastAsia="es-ES_tradnl"/>
              </w:rPr>
              <w:t>Zona 4</w:t>
            </w:r>
          </w:p>
        </w:tc>
      </w:tr>
      <w:tr w:rsidR="007865D1" w:rsidRPr="00DF0C5D" w:rsidTr="00E32F49">
        <w:trPr>
          <w:trHeight w:val="510"/>
          <w:jc w:val="center"/>
        </w:trPr>
        <w:tc>
          <w:tcPr>
            <w:tcW w:w="2557" w:type="dxa"/>
            <w:tcBorders>
              <w:top w:val="nil"/>
              <w:left w:val="single" w:sz="4" w:space="0" w:color="auto"/>
              <w:bottom w:val="single" w:sz="4" w:space="0" w:color="auto"/>
              <w:right w:val="single" w:sz="4" w:space="0" w:color="auto"/>
            </w:tcBorders>
            <w:shd w:val="clear" w:color="auto" w:fill="auto"/>
            <w:hideMark/>
          </w:tcPr>
          <w:p w:rsidR="007865D1" w:rsidRPr="00DF0C5D" w:rsidRDefault="007865D1" w:rsidP="007865D1">
            <w:pPr>
              <w:jc w:val="both"/>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Asignación por niño, niña y adolescente.</w:t>
            </w:r>
          </w:p>
        </w:tc>
        <w:tc>
          <w:tcPr>
            <w:tcW w:w="1276"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$ 837</w:t>
            </w:r>
          </w:p>
        </w:tc>
        <w:tc>
          <w:tcPr>
            <w:tcW w:w="850"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$ 837</w:t>
            </w:r>
          </w:p>
        </w:tc>
        <w:tc>
          <w:tcPr>
            <w:tcW w:w="851"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$ 1.806</w:t>
            </w:r>
          </w:p>
        </w:tc>
        <w:tc>
          <w:tcPr>
            <w:tcW w:w="1417"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$ 1.674</w:t>
            </w:r>
          </w:p>
        </w:tc>
        <w:tc>
          <w:tcPr>
            <w:tcW w:w="1063"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$ 1.806</w:t>
            </w:r>
          </w:p>
        </w:tc>
      </w:tr>
      <w:tr w:rsidR="007865D1" w:rsidRPr="00DF0C5D" w:rsidTr="00E32F49">
        <w:trPr>
          <w:trHeight w:val="510"/>
          <w:jc w:val="center"/>
        </w:trPr>
        <w:tc>
          <w:tcPr>
            <w:tcW w:w="2557" w:type="dxa"/>
            <w:tcBorders>
              <w:top w:val="nil"/>
              <w:left w:val="single" w:sz="4" w:space="0" w:color="auto"/>
              <w:bottom w:val="single" w:sz="4" w:space="0" w:color="auto"/>
              <w:right w:val="single" w:sz="4" w:space="0" w:color="auto"/>
            </w:tcBorders>
            <w:shd w:val="clear" w:color="auto" w:fill="auto"/>
            <w:hideMark/>
          </w:tcPr>
          <w:p w:rsidR="007865D1" w:rsidRPr="00DF0C5D" w:rsidRDefault="007865D1" w:rsidP="007865D1">
            <w:pPr>
              <w:jc w:val="both"/>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Asignación por persona con discapacidad.</w:t>
            </w:r>
          </w:p>
        </w:tc>
        <w:tc>
          <w:tcPr>
            <w:tcW w:w="1276"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$ 2.730</w:t>
            </w:r>
          </w:p>
        </w:tc>
        <w:tc>
          <w:tcPr>
            <w:tcW w:w="850"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$ 2.730</w:t>
            </w:r>
          </w:p>
        </w:tc>
        <w:tc>
          <w:tcPr>
            <w:tcW w:w="851"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$ 4.095</w:t>
            </w:r>
          </w:p>
        </w:tc>
        <w:tc>
          <w:tcPr>
            <w:tcW w:w="1417"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$ 5.460</w:t>
            </w:r>
          </w:p>
        </w:tc>
        <w:tc>
          <w:tcPr>
            <w:tcW w:w="1063"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$ 5.460</w:t>
            </w:r>
          </w:p>
        </w:tc>
      </w:tr>
      <w:tr w:rsidR="007865D1" w:rsidRPr="00DF0C5D" w:rsidTr="00E32F49">
        <w:trPr>
          <w:trHeight w:val="300"/>
          <w:jc w:val="center"/>
        </w:trPr>
        <w:tc>
          <w:tcPr>
            <w:tcW w:w="2557" w:type="dxa"/>
            <w:tcBorders>
              <w:top w:val="nil"/>
              <w:left w:val="single" w:sz="4" w:space="0" w:color="auto"/>
              <w:bottom w:val="single" w:sz="4" w:space="0" w:color="auto"/>
              <w:right w:val="single" w:sz="4" w:space="0" w:color="auto"/>
            </w:tcBorders>
            <w:shd w:val="clear" w:color="auto" w:fill="auto"/>
            <w:hideMark/>
          </w:tcPr>
          <w:p w:rsidR="007865D1" w:rsidRPr="00DF0C5D" w:rsidRDefault="007865D1" w:rsidP="007865D1">
            <w:pPr>
              <w:jc w:val="both"/>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Asignación prenatal.</w:t>
            </w:r>
          </w:p>
        </w:tc>
        <w:tc>
          <w:tcPr>
            <w:tcW w:w="1276"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$ 837</w:t>
            </w:r>
          </w:p>
        </w:tc>
        <w:tc>
          <w:tcPr>
            <w:tcW w:w="850"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$ 837</w:t>
            </w:r>
          </w:p>
        </w:tc>
        <w:tc>
          <w:tcPr>
            <w:tcW w:w="851"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$ 1.806</w:t>
            </w:r>
          </w:p>
        </w:tc>
        <w:tc>
          <w:tcPr>
            <w:tcW w:w="1417"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$ 1.674</w:t>
            </w:r>
          </w:p>
        </w:tc>
        <w:tc>
          <w:tcPr>
            <w:tcW w:w="1063"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$ 1.806</w:t>
            </w:r>
          </w:p>
        </w:tc>
      </w:tr>
      <w:tr w:rsidR="007865D1" w:rsidRPr="00DF0C5D" w:rsidTr="00E32F49">
        <w:trPr>
          <w:trHeight w:val="765"/>
          <w:jc w:val="center"/>
        </w:trPr>
        <w:tc>
          <w:tcPr>
            <w:tcW w:w="2557" w:type="dxa"/>
            <w:tcBorders>
              <w:top w:val="nil"/>
              <w:left w:val="single" w:sz="4" w:space="0" w:color="auto"/>
              <w:bottom w:val="single" w:sz="4" w:space="0" w:color="auto"/>
              <w:right w:val="single" w:sz="4" w:space="0" w:color="auto"/>
            </w:tcBorders>
            <w:shd w:val="clear" w:color="auto" w:fill="auto"/>
            <w:hideMark/>
          </w:tcPr>
          <w:p w:rsidR="007865D1" w:rsidRPr="00DF0C5D" w:rsidRDefault="007865D1" w:rsidP="007865D1">
            <w:pPr>
              <w:jc w:val="both"/>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Asignación por ayuda escolar anual para la educación básica y polimodal.</w:t>
            </w:r>
          </w:p>
        </w:tc>
        <w:tc>
          <w:tcPr>
            <w:tcW w:w="1276"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$ 700</w:t>
            </w:r>
          </w:p>
        </w:tc>
        <w:tc>
          <w:tcPr>
            <w:tcW w:w="850"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$ 935</w:t>
            </w:r>
          </w:p>
        </w:tc>
        <w:tc>
          <w:tcPr>
            <w:tcW w:w="851"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$ 1.170</w:t>
            </w:r>
          </w:p>
        </w:tc>
        <w:tc>
          <w:tcPr>
            <w:tcW w:w="1417"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$ 1.400</w:t>
            </w:r>
          </w:p>
        </w:tc>
        <w:tc>
          <w:tcPr>
            <w:tcW w:w="1063"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$ 1.400</w:t>
            </w:r>
          </w:p>
        </w:tc>
      </w:tr>
      <w:tr w:rsidR="007865D1" w:rsidRPr="00DF0C5D" w:rsidTr="00E32F49">
        <w:trPr>
          <w:trHeight w:val="300"/>
          <w:jc w:val="center"/>
        </w:trPr>
        <w:tc>
          <w:tcPr>
            <w:tcW w:w="2557" w:type="dxa"/>
            <w:tcBorders>
              <w:top w:val="nil"/>
              <w:left w:val="single" w:sz="4" w:space="0" w:color="auto"/>
              <w:bottom w:val="single" w:sz="4" w:space="0" w:color="auto"/>
              <w:right w:val="single" w:sz="4" w:space="0" w:color="auto"/>
            </w:tcBorders>
            <w:shd w:val="clear" w:color="auto" w:fill="auto"/>
            <w:hideMark/>
          </w:tcPr>
          <w:p w:rsidR="007865D1" w:rsidRPr="00DF0C5D" w:rsidRDefault="007865D1" w:rsidP="007865D1">
            <w:pPr>
              <w:jc w:val="both"/>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Asignación por nacimiento.</w:t>
            </w:r>
          </w:p>
        </w:tc>
        <w:tc>
          <w:tcPr>
            <w:tcW w:w="1276"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$ 975</w:t>
            </w:r>
          </w:p>
        </w:tc>
        <w:tc>
          <w:tcPr>
            <w:tcW w:w="850"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$ 975</w:t>
            </w:r>
          </w:p>
        </w:tc>
        <w:tc>
          <w:tcPr>
            <w:tcW w:w="851"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$ 975</w:t>
            </w:r>
          </w:p>
        </w:tc>
        <w:tc>
          <w:tcPr>
            <w:tcW w:w="1417"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$ 975</w:t>
            </w:r>
          </w:p>
        </w:tc>
        <w:tc>
          <w:tcPr>
            <w:tcW w:w="1063" w:type="dxa"/>
            <w:tcBorders>
              <w:top w:val="nil"/>
              <w:left w:val="nil"/>
              <w:bottom w:val="single" w:sz="4" w:space="0" w:color="auto"/>
              <w:right w:val="single" w:sz="4" w:space="0" w:color="auto"/>
            </w:tcBorders>
            <w:shd w:val="clear" w:color="auto" w:fill="auto"/>
            <w:vAlign w:val="bottom"/>
            <w:hideMark/>
          </w:tcPr>
          <w:p w:rsidR="007865D1" w:rsidRPr="00DF0C5D" w:rsidRDefault="007865D1" w:rsidP="00E32F49">
            <w:pPr>
              <w:jc w:val="right"/>
              <w:rPr>
                <w:rFonts w:ascii="Arial" w:hAnsi="Arial" w:cs="Arial"/>
                <w:color w:val="000000"/>
                <w:sz w:val="20"/>
                <w:szCs w:val="20"/>
                <w:lang w:val="es-ES_tradnl" w:eastAsia="es-ES_tradnl"/>
              </w:rPr>
            </w:pPr>
            <w:r w:rsidRPr="00DF0C5D">
              <w:rPr>
                <w:rFonts w:ascii="Arial" w:hAnsi="Arial" w:cs="Arial"/>
                <w:color w:val="000000"/>
                <w:sz w:val="20"/>
                <w:szCs w:val="20"/>
                <w:lang w:val="es-ES_tradnl" w:eastAsia="es-ES_tradnl"/>
              </w:rPr>
              <w:t>$ 975</w:t>
            </w:r>
          </w:p>
        </w:tc>
      </w:tr>
    </w:tbl>
    <w:p w:rsidR="007865D1" w:rsidRPr="002F6321" w:rsidRDefault="007865D1" w:rsidP="007865D1">
      <w:pPr>
        <w:jc w:val="center"/>
        <w:rPr>
          <w:sz w:val="20"/>
          <w:szCs w:val="20"/>
        </w:rPr>
      </w:pPr>
      <w:r w:rsidRPr="002F6321">
        <w:rPr>
          <w:sz w:val="20"/>
          <w:szCs w:val="20"/>
        </w:rPr>
        <w:t>Fuente: elaboración propia en base a datos de ANSES.</w:t>
      </w:r>
    </w:p>
    <w:p w:rsidR="007865D1" w:rsidRDefault="00E32F49" w:rsidP="007865D1">
      <w:pPr>
        <w:jc w:val="both"/>
        <w:rPr>
          <w:rFonts w:eastAsia="Calibri"/>
        </w:rPr>
      </w:pPr>
      <w:r>
        <w:rPr>
          <w:rFonts w:eastAsia="Calibri"/>
        </w:rPr>
        <w:lastRenderedPageBreak/>
        <w:t>E</w:t>
      </w:r>
      <w:r w:rsidR="007865D1">
        <w:rPr>
          <w:rFonts w:eastAsia="Calibri"/>
        </w:rPr>
        <w:t xml:space="preserve">s indispensable  </w:t>
      </w:r>
      <w:r w:rsidR="007865D1" w:rsidRPr="00874AE0">
        <w:rPr>
          <w:rFonts w:eastAsia="Calibri"/>
        </w:rPr>
        <w:t>unifica</w:t>
      </w:r>
      <w:r w:rsidR="007865D1">
        <w:rPr>
          <w:rFonts w:eastAsia="Calibri"/>
        </w:rPr>
        <w:t>r</w:t>
      </w:r>
      <w:r w:rsidR="007865D1" w:rsidRPr="00874AE0">
        <w:rPr>
          <w:rFonts w:eastAsia="Calibri"/>
        </w:rPr>
        <w:t xml:space="preserve"> ambos subsistemas (contributivo y no contributivo) en un mismo régimen de asignaciones familiares, que además de llegar a</w:t>
      </w:r>
      <w:r w:rsidR="007865D1">
        <w:rPr>
          <w:rFonts w:eastAsia="Calibri"/>
        </w:rPr>
        <w:t xml:space="preserve"> todos los niños y niñas, no haga</w:t>
      </w:r>
      <w:r w:rsidR="007865D1" w:rsidRPr="00874AE0">
        <w:rPr>
          <w:rFonts w:eastAsia="Calibri"/>
        </w:rPr>
        <w:t xml:space="preserve"> ningún tipo de discriminación en función de la condición laboral de los padres. </w:t>
      </w:r>
    </w:p>
    <w:p w:rsidR="007865D1" w:rsidRPr="00874AE0" w:rsidRDefault="007865D1" w:rsidP="007865D1">
      <w:pPr>
        <w:jc w:val="both"/>
        <w:rPr>
          <w:rFonts w:eastAsia="Calibri"/>
        </w:rPr>
      </w:pPr>
    </w:p>
    <w:p w:rsidR="007865D1" w:rsidRDefault="00615343" w:rsidP="007865D1">
      <w:pPr>
        <w:jc w:val="both"/>
        <w:rPr>
          <w:rFonts w:eastAsia="Calibri"/>
        </w:rPr>
      </w:pPr>
      <w:r>
        <w:rPr>
          <w:rFonts w:eastAsia="Calibri"/>
        </w:rPr>
        <w:t>E</w:t>
      </w:r>
      <w:r w:rsidR="007865D1" w:rsidRPr="00874AE0">
        <w:rPr>
          <w:rFonts w:eastAsia="Calibri"/>
        </w:rPr>
        <w:t>l proyecto que proponemos unifica el monto recibido por cada hijo, sin hacer distinción según el tramo de ingresos de sus padres, ya que consideramos que todos los niños y niñas tienen derecho a recibir el mismo valor más allá de la categoría ocupacional de sus padres, y la situación de ingresos del grupo familiar. En paralelo, eliminaríamos la deducción por hijo para el pago del impuesto a las ganancias, de forma tal que las familias de altos ingresos no cuenten con un doble beneficio.</w:t>
      </w:r>
    </w:p>
    <w:p w:rsidR="007865D1" w:rsidRPr="00874AE0" w:rsidRDefault="007865D1" w:rsidP="007865D1">
      <w:pPr>
        <w:ind w:firstLine="357"/>
        <w:jc w:val="both"/>
        <w:rPr>
          <w:rFonts w:eastAsia="Calibri"/>
        </w:rPr>
      </w:pPr>
    </w:p>
    <w:p w:rsidR="007865D1" w:rsidRDefault="007865D1" w:rsidP="007865D1">
      <w:pPr>
        <w:jc w:val="both"/>
        <w:rPr>
          <w:rFonts w:eastAsia="Calibri"/>
        </w:rPr>
      </w:pPr>
      <w:r w:rsidRPr="00757A64">
        <w:rPr>
          <w:rFonts w:eastAsia="Calibri"/>
        </w:rPr>
        <w:t xml:space="preserve">Otra modificación que establece nuestro proyecto, es que incorpora un ajuste automático </w:t>
      </w:r>
      <w:r w:rsidR="00757A64" w:rsidRPr="00757A64">
        <w:rPr>
          <w:rFonts w:eastAsia="Calibri"/>
        </w:rPr>
        <w:t>que permita mantener el poder adquisitivo</w:t>
      </w:r>
      <w:r w:rsidRPr="00757A64">
        <w:rPr>
          <w:rFonts w:eastAsia="Calibri"/>
        </w:rPr>
        <w:t xml:space="preserve">, lo cual no está previsto en el decreto vigente. </w:t>
      </w:r>
      <w:r w:rsidR="00951D7A" w:rsidRPr="00757A64">
        <w:rPr>
          <w:rFonts w:eastAsia="Calibri"/>
        </w:rPr>
        <w:t xml:space="preserve">Hasta 2015 inclusive, </w:t>
      </w:r>
      <w:r w:rsidRPr="00757A64">
        <w:rPr>
          <w:rFonts w:eastAsia="Calibri"/>
        </w:rPr>
        <w:t xml:space="preserve">los aumentos en el monto de las asignaciones </w:t>
      </w:r>
      <w:r w:rsidR="00951D7A" w:rsidRPr="00757A64">
        <w:rPr>
          <w:rFonts w:eastAsia="Calibri"/>
        </w:rPr>
        <w:t>estuvieron</w:t>
      </w:r>
      <w:r w:rsidRPr="00757A64">
        <w:rPr>
          <w:rFonts w:eastAsia="Calibri"/>
        </w:rPr>
        <w:t xml:space="preserve"> sujetos a la discrecionalidad de las autoridades políticas, genera</w:t>
      </w:r>
      <w:r w:rsidR="00951D7A" w:rsidRPr="00757A64">
        <w:rPr>
          <w:rFonts w:eastAsia="Calibri"/>
        </w:rPr>
        <w:t>ndo sistemáticas</w:t>
      </w:r>
      <w:r w:rsidRPr="00757A64">
        <w:rPr>
          <w:rFonts w:eastAsia="Calibri"/>
        </w:rPr>
        <w:t xml:space="preserve"> pérdidas en el poder adquisitivo de la prestación. </w:t>
      </w:r>
      <w:r w:rsidR="00757A64">
        <w:rPr>
          <w:rFonts w:eastAsia="Calibri"/>
        </w:rPr>
        <w:t xml:space="preserve">En julio de este año </w:t>
      </w:r>
      <w:r w:rsidR="00757A64" w:rsidRPr="00757A64">
        <w:rPr>
          <w:rFonts w:eastAsia="Calibri"/>
        </w:rPr>
        <w:t xml:space="preserve">se sancionó la ley por la cual a partir de 2016 las asignaciones familiares se actualizarán mediante la fórmula de movilidad aplicada a las jubilaciones. Sin embargo, tal criterio no necesariamente garantiza conservar el poder adquisitivo, objetivo que entendemos fundamental para asegurar la reproducción familiar. </w:t>
      </w:r>
      <w:r w:rsidRPr="00757A64">
        <w:rPr>
          <w:rFonts w:eastAsia="Calibri"/>
        </w:rPr>
        <w:t>Claramente nuestro proyecto debe ir acompañado además de una normalización del INDEC de forma tal de recuperar índices de precios confiables para tomar como parámetro.</w:t>
      </w:r>
      <w:r w:rsidRPr="00874AE0">
        <w:rPr>
          <w:rFonts w:eastAsia="Calibri"/>
        </w:rPr>
        <w:t xml:space="preserve"> </w:t>
      </w:r>
    </w:p>
    <w:p w:rsidR="007865D1" w:rsidRPr="00874AE0" w:rsidRDefault="007865D1" w:rsidP="007865D1">
      <w:pPr>
        <w:jc w:val="both"/>
        <w:rPr>
          <w:rFonts w:eastAsia="Calibri"/>
        </w:rPr>
      </w:pPr>
    </w:p>
    <w:p w:rsidR="007865D1" w:rsidRDefault="007865D1" w:rsidP="007865D1">
      <w:pPr>
        <w:jc w:val="both"/>
        <w:rPr>
          <w:rFonts w:eastAsia="Calibri"/>
        </w:rPr>
      </w:pPr>
      <w:r w:rsidRPr="00874AE0">
        <w:rPr>
          <w:rFonts w:eastAsia="Calibri"/>
        </w:rPr>
        <w:t>En síntesis, en lo que respecta a la asignación por hijo, nuestro proyecto apunta a generar una medida realmente universal, que no discrimine a los chicos en función de la categoría ocupacional de los padres, y que no esté sujeta a la discrecionalidad de las autoridades de turno. Pero por otra parte, vamos más allá de la asignación por hijo y universalizamos también otras prestaciones, como la asignación por persona con discapacidad, la asignación por ayuda escolar anual, la asignación por nacimiento y la asignación prenatal.</w:t>
      </w:r>
    </w:p>
    <w:p w:rsidR="007865D1" w:rsidRPr="00874AE0" w:rsidRDefault="007865D1" w:rsidP="007865D1">
      <w:pPr>
        <w:jc w:val="both"/>
        <w:rPr>
          <w:rFonts w:eastAsia="Calibri"/>
        </w:rPr>
      </w:pPr>
    </w:p>
    <w:p w:rsidR="007865D1" w:rsidRPr="00874AE0" w:rsidRDefault="007865D1" w:rsidP="007865D1">
      <w:pPr>
        <w:jc w:val="both"/>
        <w:rPr>
          <w:rFonts w:eastAsia="Calibri"/>
        </w:rPr>
      </w:pPr>
      <w:r w:rsidRPr="00874AE0">
        <w:rPr>
          <w:rFonts w:eastAsia="Calibri"/>
        </w:rPr>
        <w:t xml:space="preserve">Finalmente, una modificación que consideramos central respecto a la situación vigente, es la fuente de financiamiento de la prestación. Actualmente, la AUH se financia con fondos de ANSES, en un contexto en el cual el nivel de los haberes previsionales es insuficiente para cubrir las necesidades de los mayores y el Estado continúa postergando el pago de la deuda previsional a los jubilados. De esta forma, lejos de haberse seleccionado una fuente de financiamiento que produzca una redistribución de los recursos desde las poblaciones más acomodadas hacia las más desfavorecidas, se puso en competencia a dos de los grupos poblacionales más vulnerables (las personas mayores y los niños) por  los recursos destinados a protegerlos. </w:t>
      </w:r>
      <w:r>
        <w:rPr>
          <w:rFonts w:eastAsia="Calibri"/>
        </w:rPr>
        <w:t>De esta manera se descartaron</w:t>
      </w:r>
      <w:r w:rsidRPr="00874AE0">
        <w:rPr>
          <w:rFonts w:eastAsia="Calibri"/>
        </w:rPr>
        <w:t xml:space="preserve"> otras fuentes de financiamiento más progresivas</w:t>
      </w:r>
      <w:r w:rsidR="00615343">
        <w:rPr>
          <w:rFonts w:eastAsia="Calibri"/>
        </w:rPr>
        <w:t>.</w:t>
      </w:r>
    </w:p>
    <w:p w:rsidR="007865D1" w:rsidRDefault="007865D1" w:rsidP="007865D1">
      <w:pPr>
        <w:jc w:val="both"/>
        <w:rPr>
          <w:b/>
          <w:i/>
          <w:u w:val="single"/>
        </w:rPr>
      </w:pPr>
    </w:p>
    <w:p w:rsidR="007865D1" w:rsidRPr="00F57339" w:rsidRDefault="007865D1" w:rsidP="000A5D88">
      <w:pPr>
        <w:jc w:val="both"/>
      </w:pPr>
      <w:r w:rsidRPr="00F57339">
        <w:t xml:space="preserve">Tanto en el caso de los titulares como receptores se instituye como requisito ser argentino, nativo, por opción o poseer el certificado de radicación precaria. Bajo este diseño se establece que mientras el país le haya dado la bienvenida a personas de otras nacionalidades, se le debe garantizar a estas sus derechos. Lo que se busca es hacer efectivos, de la mejor forma posible, los compromisos asumidos por el Estado argentino a través de la Ley de Migraciones.  </w:t>
      </w:r>
    </w:p>
    <w:p w:rsidR="000A5D88" w:rsidRDefault="000A5D88" w:rsidP="000A5D88">
      <w:pPr>
        <w:jc w:val="both"/>
        <w:rPr>
          <w:b/>
        </w:rPr>
      </w:pPr>
    </w:p>
    <w:p w:rsidR="007865D1" w:rsidRPr="000A5D88" w:rsidRDefault="000A5D88" w:rsidP="000A5D88">
      <w:pPr>
        <w:jc w:val="both"/>
        <w:rPr>
          <w:b/>
        </w:rPr>
      </w:pPr>
      <w:r w:rsidRPr="000A5D88">
        <w:lastRenderedPageBreak/>
        <w:t>Por último, l</w:t>
      </w:r>
      <w:r w:rsidR="007865D1" w:rsidRPr="00F57339">
        <w:t xml:space="preserve">a imposición de la salud y la educación como condicionalidades parte de la doble característica de las mismas como obligación y como derecho. Sin embargo la responsabilidad de garantizar su cumplimiento es básicamente estatal y por ello será la Autoridad de Aplicación quien deberá interponer los mecanismos necesarios, tanto en el diálogo con los Ministerios de Salud y Educación nacionales y provinciales; como con los receptores para que estas sean efectivizadas.  </w:t>
      </w:r>
    </w:p>
    <w:p w:rsidR="007865D1" w:rsidRDefault="007865D1" w:rsidP="007865D1">
      <w:pPr>
        <w:ind w:left="708" w:hanging="348"/>
        <w:jc w:val="both"/>
      </w:pPr>
    </w:p>
    <w:p w:rsidR="007865D1" w:rsidRPr="00F57339" w:rsidRDefault="007865D1" w:rsidP="007865D1">
      <w:pPr>
        <w:jc w:val="both"/>
      </w:pPr>
      <w:r w:rsidRPr="00F57339">
        <w:t xml:space="preserve">Es bajo esta concepción asimétrica de las </w:t>
      </w:r>
      <w:proofErr w:type="spellStart"/>
      <w:r w:rsidRPr="00F57339">
        <w:t>responsabiliades</w:t>
      </w:r>
      <w:proofErr w:type="spellEnd"/>
      <w:r w:rsidRPr="00F57339">
        <w:t xml:space="preserve"> y de interpretar a la</w:t>
      </w:r>
      <w:r>
        <w:t xml:space="preserve"> </w:t>
      </w:r>
      <w:r w:rsidRPr="00F57339">
        <w:t>AAUU como un derecho intrínseco de sus titulares que se concibe a la prestación como inalienable, y por lo cual no puede ser objeto de sanciones. Por otra parte, pese a los discursos que establecen que las sanciones aumentan la asistencia a los efectores de salud y educación, no existen análisis metodológicamente rigurosos que puedan dar cuenta de esto.</w:t>
      </w:r>
      <w:r w:rsidRPr="00F57339">
        <w:rPr>
          <w:rStyle w:val="Refdenotaalpie"/>
        </w:rPr>
        <w:footnoteReference w:id="5"/>
      </w:r>
    </w:p>
    <w:p w:rsidR="007865D1" w:rsidRDefault="007865D1" w:rsidP="007865D1">
      <w:pPr>
        <w:jc w:val="both"/>
      </w:pPr>
    </w:p>
    <w:p w:rsidR="007865D1" w:rsidRDefault="007865D1" w:rsidP="007865D1">
      <w:pPr>
        <w:jc w:val="both"/>
      </w:pPr>
    </w:p>
    <w:p w:rsidR="007865D1" w:rsidRPr="00607DFD" w:rsidRDefault="007865D1" w:rsidP="007865D1">
      <w:pPr>
        <w:rPr>
          <w:u w:val="single"/>
        </w:rPr>
      </w:pPr>
      <w:r w:rsidRPr="00607DFD">
        <w:rPr>
          <w:u w:val="single"/>
        </w:rPr>
        <w:t>Costos y Financiamiento. Año 2015</w:t>
      </w:r>
    </w:p>
    <w:p w:rsidR="007865D1" w:rsidRPr="00F57339" w:rsidRDefault="007865D1" w:rsidP="007865D1">
      <w:pPr>
        <w:jc w:val="both"/>
      </w:pPr>
    </w:p>
    <w:p w:rsidR="007865D1" w:rsidRPr="00F57339" w:rsidRDefault="007865D1" w:rsidP="007865D1">
      <w:pPr>
        <w:jc w:val="both"/>
      </w:pPr>
      <w:r w:rsidRPr="00F57339">
        <w:t xml:space="preserve">El costo bruto anual del proyecto aquí propuesto asciende a </w:t>
      </w:r>
      <w:r w:rsidRPr="00F57339">
        <w:rPr>
          <w:b/>
          <w:color w:val="000000"/>
          <w:lang w:eastAsia="es-AR"/>
        </w:rPr>
        <w:t>$</w:t>
      </w:r>
      <w:r>
        <w:rPr>
          <w:b/>
          <w:color w:val="000000"/>
          <w:lang w:eastAsia="es-AR"/>
        </w:rPr>
        <w:t xml:space="preserve">228.358 </w:t>
      </w:r>
      <w:r w:rsidRPr="00F57339">
        <w:rPr>
          <w:b/>
        </w:rPr>
        <w:t>millones</w:t>
      </w:r>
      <w:r w:rsidRPr="00F57339">
        <w:t xml:space="preserve"> anuales. Para llegar a este valor, calculamos por separado el costo anual de cada prestación. Debido a que en todas las asignaciones, con excepción de la Asignación Universal por Nacimiento, transfieren montos diferenciales según la zona de residencia, se estimó la cantidad de potenciales receptores por zona. Para estos cálculos utilizamos los datos del Censo 2010, los datos del Anuario Estadístico 20</w:t>
      </w:r>
      <w:r>
        <w:t>13</w:t>
      </w:r>
      <w:r w:rsidRPr="00F57339">
        <w:t xml:space="preserve"> del Ministerio de Salud (cantidad de nacidos vivos, cantidad de defunciones fetales) y los datos de la Encuesta Nacional complementaria de Personas con Discapacidad 2002-2003 realizada por el INDEC.</w:t>
      </w:r>
    </w:p>
    <w:p w:rsidR="007865D1" w:rsidRPr="00F57339" w:rsidRDefault="007865D1" w:rsidP="007865D1">
      <w:pPr>
        <w:jc w:val="both"/>
      </w:pPr>
    </w:p>
    <w:p w:rsidR="007865D1" w:rsidRDefault="007865D1" w:rsidP="007865D1">
      <w:pPr>
        <w:jc w:val="both"/>
        <w:rPr>
          <w:rFonts w:ascii="Century" w:hAnsi="Century"/>
        </w:rPr>
      </w:pPr>
      <w:r>
        <w:t xml:space="preserve">Cuadro N º </w:t>
      </w:r>
      <w:r w:rsidR="00615343">
        <w:t>9</w:t>
      </w:r>
      <w:r w:rsidRPr="004E1A65">
        <w:t>: Costo bruto Anual Total de universalizar las Asignaciones</w:t>
      </w:r>
      <w:r w:rsidRPr="004E1A65">
        <w:rPr>
          <w:rFonts w:ascii="Century" w:hAnsi="Century"/>
        </w:rPr>
        <w:t>.</w:t>
      </w:r>
    </w:p>
    <w:tbl>
      <w:tblPr>
        <w:tblW w:w="8951" w:type="dxa"/>
        <w:tblInd w:w="65" w:type="dxa"/>
        <w:tblCellMar>
          <w:left w:w="70" w:type="dxa"/>
          <w:right w:w="70" w:type="dxa"/>
        </w:tblCellMar>
        <w:tblLook w:val="04A0" w:firstRow="1" w:lastRow="0" w:firstColumn="1" w:lastColumn="0" w:noHBand="0" w:noVBand="1"/>
      </w:tblPr>
      <w:tblGrid>
        <w:gridCol w:w="7054"/>
        <w:gridCol w:w="1897"/>
      </w:tblGrid>
      <w:tr w:rsidR="007865D1" w:rsidRPr="00C642B7" w:rsidTr="007865D1">
        <w:trPr>
          <w:trHeight w:val="346"/>
        </w:trPr>
        <w:tc>
          <w:tcPr>
            <w:tcW w:w="7054"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7865D1" w:rsidRPr="00C642B7" w:rsidRDefault="007865D1" w:rsidP="007865D1">
            <w:pPr>
              <w:rPr>
                <w:rFonts w:ascii="Arial" w:hAnsi="Arial" w:cs="Arial"/>
                <w:color w:val="FFFFFF"/>
                <w:sz w:val="20"/>
                <w:szCs w:val="20"/>
                <w:lang w:eastAsia="es-AR"/>
              </w:rPr>
            </w:pPr>
            <w:r w:rsidRPr="00C642B7">
              <w:rPr>
                <w:rFonts w:ascii="Arial" w:hAnsi="Arial" w:cs="Arial"/>
                <w:color w:val="FFFFFF"/>
                <w:sz w:val="20"/>
                <w:szCs w:val="20"/>
                <w:lang w:eastAsia="es-AR"/>
              </w:rPr>
              <w:t>Prestación</w:t>
            </w:r>
          </w:p>
        </w:tc>
        <w:tc>
          <w:tcPr>
            <w:tcW w:w="1897" w:type="dxa"/>
            <w:tcBorders>
              <w:top w:val="single" w:sz="4" w:space="0" w:color="auto"/>
              <w:left w:val="nil"/>
              <w:bottom w:val="single" w:sz="4" w:space="0" w:color="auto"/>
              <w:right w:val="single" w:sz="4" w:space="0" w:color="auto"/>
            </w:tcBorders>
            <w:shd w:val="clear" w:color="000000" w:fill="0070C0"/>
            <w:noWrap/>
            <w:vAlign w:val="bottom"/>
            <w:hideMark/>
          </w:tcPr>
          <w:p w:rsidR="007865D1" w:rsidRPr="00C642B7" w:rsidRDefault="007865D1" w:rsidP="007865D1">
            <w:pPr>
              <w:rPr>
                <w:rFonts w:ascii="Arial" w:hAnsi="Arial" w:cs="Arial"/>
                <w:color w:val="FFFFFF"/>
                <w:sz w:val="20"/>
                <w:szCs w:val="20"/>
                <w:lang w:eastAsia="es-AR"/>
              </w:rPr>
            </w:pPr>
            <w:r w:rsidRPr="00C642B7">
              <w:rPr>
                <w:rFonts w:ascii="Arial" w:hAnsi="Arial" w:cs="Arial"/>
                <w:color w:val="FFFFFF"/>
                <w:sz w:val="20"/>
                <w:szCs w:val="20"/>
                <w:lang w:eastAsia="es-AR"/>
              </w:rPr>
              <w:t>Costo Bruto Anual</w:t>
            </w:r>
          </w:p>
        </w:tc>
      </w:tr>
      <w:tr w:rsidR="007865D1" w:rsidRPr="00C642B7" w:rsidTr="007865D1">
        <w:trPr>
          <w:trHeight w:val="306"/>
        </w:trPr>
        <w:tc>
          <w:tcPr>
            <w:tcW w:w="7054" w:type="dxa"/>
            <w:tcBorders>
              <w:top w:val="nil"/>
              <w:left w:val="single" w:sz="4" w:space="0" w:color="auto"/>
              <w:bottom w:val="single" w:sz="4" w:space="0" w:color="auto"/>
              <w:right w:val="single" w:sz="4" w:space="0" w:color="auto"/>
            </w:tcBorders>
            <w:shd w:val="clear" w:color="auto" w:fill="auto"/>
            <w:noWrap/>
            <w:vAlign w:val="bottom"/>
            <w:hideMark/>
          </w:tcPr>
          <w:p w:rsidR="007865D1" w:rsidRPr="00C642B7" w:rsidRDefault="007865D1" w:rsidP="007865D1">
            <w:pPr>
              <w:jc w:val="both"/>
              <w:rPr>
                <w:rFonts w:ascii="Arial" w:hAnsi="Arial" w:cs="Arial"/>
                <w:color w:val="000000"/>
                <w:sz w:val="20"/>
                <w:szCs w:val="20"/>
                <w:lang w:eastAsia="es-AR"/>
              </w:rPr>
            </w:pPr>
            <w:r w:rsidRPr="00C642B7">
              <w:rPr>
                <w:rFonts w:ascii="Arial" w:hAnsi="Arial" w:cs="Arial"/>
                <w:color w:val="000000"/>
                <w:sz w:val="20"/>
                <w:szCs w:val="20"/>
                <w:lang w:eastAsia="es-AR"/>
              </w:rPr>
              <w:t xml:space="preserve">a. Asignación universal por niño, niña y adolescente. </w:t>
            </w:r>
          </w:p>
        </w:tc>
        <w:tc>
          <w:tcPr>
            <w:tcW w:w="1897" w:type="dxa"/>
            <w:tcBorders>
              <w:top w:val="nil"/>
              <w:left w:val="nil"/>
              <w:bottom w:val="single" w:sz="4" w:space="0" w:color="auto"/>
              <w:right w:val="single" w:sz="4" w:space="0" w:color="auto"/>
            </w:tcBorders>
            <w:shd w:val="clear" w:color="auto" w:fill="auto"/>
            <w:noWrap/>
            <w:vAlign w:val="bottom"/>
            <w:hideMark/>
          </w:tcPr>
          <w:p w:rsidR="007865D1" w:rsidRPr="00C642B7" w:rsidRDefault="007865D1" w:rsidP="007865D1">
            <w:pPr>
              <w:jc w:val="right"/>
              <w:rPr>
                <w:rFonts w:ascii="Arial" w:hAnsi="Arial" w:cs="Arial"/>
                <w:color w:val="000000"/>
                <w:sz w:val="20"/>
                <w:szCs w:val="20"/>
                <w:lang w:eastAsia="es-AR"/>
              </w:rPr>
            </w:pPr>
            <w:r w:rsidRPr="00C642B7">
              <w:rPr>
                <w:rFonts w:ascii="Arial" w:hAnsi="Arial" w:cs="Arial"/>
                <w:color w:val="000000"/>
                <w:sz w:val="20"/>
                <w:szCs w:val="20"/>
                <w:lang w:eastAsia="es-AR"/>
              </w:rPr>
              <w:t>$ 133.801.238.159</w:t>
            </w:r>
          </w:p>
        </w:tc>
      </w:tr>
      <w:tr w:rsidR="007865D1" w:rsidRPr="00C642B7" w:rsidTr="007865D1">
        <w:trPr>
          <w:trHeight w:val="412"/>
        </w:trPr>
        <w:tc>
          <w:tcPr>
            <w:tcW w:w="7054" w:type="dxa"/>
            <w:tcBorders>
              <w:top w:val="nil"/>
              <w:left w:val="single" w:sz="4" w:space="0" w:color="auto"/>
              <w:bottom w:val="single" w:sz="4" w:space="0" w:color="auto"/>
              <w:right w:val="single" w:sz="4" w:space="0" w:color="auto"/>
            </w:tcBorders>
            <w:shd w:val="clear" w:color="auto" w:fill="auto"/>
            <w:noWrap/>
            <w:vAlign w:val="bottom"/>
            <w:hideMark/>
          </w:tcPr>
          <w:p w:rsidR="007865D1" w:rsidRPr="00C642B7" w:rsidRDefault="007865D1" w:rsidP="007865D1">
            <w:pPr>
              <w:jc w:val="both"/>
              <w:rPr>
                <w:rFonts w:ascii="Arial" w:hAnsi="Arial" w:cs="Arial"/>
                <w:color w:val="000000"/>
                <w:sz w:val="20"/>
                <w:szCs w:val="20"/>
                <w:lang w:eastAsia="es-AR"/>
              </w:rPr>
            </w:pPr>
            <w:r w:rsidRPr="00C642B7">
              <w:rPr>
                <w:rFonts w:ascii="Arial" w:hAnsi="Arial" w:cs="Arial"/>
                <w:color w:val="000000"/>
                <w:sz w:val="20"/>
                <w:szCs w:val="20"/>
                <w:lang w:eastAsia="es-AR"/>
              </w:rPr>
              <w:t>b. Asignación universal por persona con discapacidad.</w:t>
            </w:r>
          </w:p>
        </w:tc>
        <w:tc>
          <w:tcPr>
            <w:tcW w:w="1897" w:type="dxa"/>
            <w:tcBorders>
              <w:top w:val="nil"/>
              <w:left w:val="nil"/>
              <w:bottom w:val="single" w:sz="4" w:space="0" w:color="auto"/>
              <w:right w:val="single" w:sz="4" w:space="0" w:color="auto"/>
            </w:tcBorders>
            <w:shd w:val="clear" w:color="auto" w:fill="auto"/>
            <w:noWrap/>
            <w:vAlign w:val="bottom"/>
            <w:hideMark/>
          </w:tcPr>
          <w:p w:rsidR="007865D1" w:rsidRPr="00C642B7" w:rsidRDefault="007865D1" w:rsidP="007865D1">
            <w:pPr>
              <w:jc w:val="right"/>
              <w:rPr>
                <w:rFonts w:ascii="Arial" w:hAnsi="Arial" w:cs="Arial"/>
                <w:color w:val="000000"/>
                <w:sz w:val="20"/>
                <w:szCs w:val="20"/>
                <w:lang w:eastAsia="es-AR"/>
              </w:rPr>
            </w:pPr>
            <w:r w:rsidRPr="00C642B7">
              <w:rPr>
                <w:rFonts w:ascii="Arial" w:hAnsi="Arial" w:cs="Arial"/>
                <w:color w:val="000000"/>
                <w:sz w:val="20"/>
                <w:szCs w:val="20"/>
                <w:lang w:eastAsia="es-AR"/>
              </w:rPr>
              <w:t>$ 83.365.394.692</w:t>
            </w:r>
          </w:p>
        </w:tc>
      </w:tr>
      <w:tr w:rsidR="007865D1" w:rsidRPr="00C642B7" w:rsidTr="007865D1">
        <w:trPr>
          <w:trHeight w:val="435"/>
        </w:trPr>
        <w:tc>
          <w:tcPr>
            <w:tcW w:w="7054" w:type="dxa"/>
            <w:tcBorders>
              <w:top w:val="nil"/>
              <w:left w:val="single" w:sz="4" w:space="0" w:color="auto"/>
              <w:bottom w:val="single" w:sz="4" w:space="0" w:color="auto"/>
              <w:right w:val="single" w:sz="4" w:space="0" w:color="auto"/>
            </w:tcBorders>
            <w:shd w:val="clear" w:color="auto" w:fill="auto"/>
            <w:noWrap/>
            <w:vAlign w:val="bottom"/>
            <w:hideMark/>
          </w:tcPr>
          <w:p w:rsidR="007865D1" w:rsidRPr="00C642B7" w:rsidRDefault="007865D1" w:rsidP="007865D1">
            <w:pPr>
              <w:jc w:val="both"/>
              <w:rPr>
                <w:rFonts w:ascii="Arial" w:hAnsi="Arial" w:cs="Arial"/>
                <w:color w:val="000000"/>
                <w:sz w:val="20"/>
                <w:szCs w:val="20"/>
                <w:lang w:eastAsia="es-AR"/>
              </w:rPr>
            </w:pPr>
            <w:r w:rsidRPr="00C642B7">
              <w:rPr>
                <w:rFonts w:ascii="Arial" w:hAnsi="Arial" w:cs="Arial"/>
                <w:color w:val="000000"/>
                <w:sz w:val="20"/>
                <w:szCs w:val="20"/>
                <w:lang w:eastAsia="es-AR"/>
              </w:rPr>
              <w:t xml:space="preserve">c. Asignación universal por ayuda escolar anual para la educación básica y polimodal. </w:t>
            </w:r>
          </w:p>
        </w:tc>
        <w:tc>
          <w:tcPr>
            <w:tcW w:w="1897" w:type="dxa"/>
            <w:tcBorders>
              <w:top w:val="nil"/>
              <w:left w:val="nil"/>
              <w:bottom w:val="single" w:sz="4" w:space="0" w:color="auto"/>
              <w:right w:val="single" w:sz="4" w:space="0" w:color="auto"/>
            </w:tcBorders>
            <w:shd w:val="clear" w:color="auto" w:fill="auto"/>
            <w:noWrap/>
            <w:vAlign w:val="bottom"/>
            <w:hideMark/>
          </w:tcPr>
          <w:p w:rsidR="007865D1" w:rsidRPr="00C642B7" w:rsidRDefault="007865D1" w:rsidP="007865D1">
            <w:pPr>
              <w:jc w:val="right"/>
              <w:rPr>
                <w:rFonts w:ascii="Arial" w:hAnsi="Arial" w:cs="Arial"/>
                <w:color w:val="000000"/>
                <w:sz w:val="20"/>
                <w:szCs w:val="20"/>
                <w:lang w:eastAsia="es-AR"/>
              </w:rPr>
            </w:pPr>
            <w:r w:rsidRPr="00C642B7">
              <w:rPr>
                <w:rFonts w:ascii="Arial" w:hAnsi="Arial" w:cs="Arial"/>
                <w:color w:val="000000"/>
                <w:sz w:val="20"/>
                <w:szCs w:val="20"/>
                <w:lang w:eastAsia="es-AR"/>
              </w:rPr>
              <w:t>$ 7.233.451.093</w:t>
            </w:r>
          </w:p>
        </w:tc>
      </w:tr>
      <w:tr w:rsidR="007865D1" w:rsidRPr="00C642B7" w:rsidTr="007865D1">
        <w:trPr>
          <w:trHeight w:val="313"/>
        </w:trPr>
        <w:tc>
          <w:tcPr>
            <w:tcW w:w="7054" w:type="dxa"/>
            <w:tcBorders>
              <w:top w:val="nil"/>
              <w:left w:val="single" w:sz="4" w:space="0" w:color="auto"/>
              <w:bottom w:val="single" w:sz="4" w:space="0" w:color="auto"/>
              <w:right w:val="single" w:sz="4" w:space="0" w:color="auto"/>
            </w:tcBorders>
            <w:shd w:val="clear" w:color="auto" w:fill="auto"/>
            <w:noWrap/>
            <w:vAlign w:val="bottom"/>
            <w:hideMark/>
          </w:tcPr>
          <w:p w:rsidR="007865D1" w:rsidRPr="00C642B7" w:rsidRDefault="007865D1" w:rsidP="007865D1">
            <w:pPr>
              <w:jc w:val="both"/>
              <w:rPr>
                <w:rFonts w:ascii="Arial" w:hAnsi="Arial" w:cs="Arial"/>
                <w:color w:val="000000"/>
                <w:sz w:val="20"/>
                <w:szCs w:val="20"/>
                <w:lang w:eastAsia="es-AR"/>
              </w:rPr>
            </w:pPr>
            <w:r w:rsidRPr="00C642B7">
              <w:rPr>
                <w:rFonts w:ascii="Arial" w:hAnsi="Arial" w:cs="Arial"/>
                <w:color w:val="000000"/>
                <w:sz w:val="20"/>
                <w:szCs w:val="20"/>
                <w:lang w:eastAsia="es-AR"/>
              </w:rPr>
              <w:t xml:space="preserve">e. Asignación universal por nacimiento. </w:t>
            </w:r>
          </w:p>
        </w:tc>
        <w:tc>
          <w:tcPr>
            <w:tcW w:w="1897" w:type="dxa"/>
            <w:tcBorders>
              <w:top w:val="nil"/>
              <w:left w:val="nil"/>
              <w:bottom w:val="single" w:sz="4" w:space="0" w:color="auto"/>
              <w:right w:val="single" w:sz="4" w:space="0" w:color="auto"/>
            </w:tcBorders>
            <w:shd w:val="clear" w:color="auto" w:fill="auto"/>
            <w:noWrap/>
            <w:vAlign w:val="bottom"/>
            <w:hideMark/>
          </w:tcPr>
          <w:p w:rsidR="007865D1" w:rsidRPr="00C642B7" w:rsidRDefault="007865D1" w:rsidP="007865D1">
            <w:pPr>
              <w:jc w:val="right"/>
              <w:rPr>
                <w:rFonts w:ascii="Arial" w:hAnsi="Arial" w:cs="Arial"/>
                <w:color w:val="000000"/>
                <w:sz w:val="20"/>
                <w:szCs w:val="20"/>
                <w:lang w:eastAsia="es-AR"/>
              </w:rPr>
            </w:pPr>
            <w:r w:rsidRPr="00C642B7">
              <w:rPr>
                <w:rFonts w:ascii="Arial" w:hAnsi="Arial" w:cs="Arial"/>
                <w:color w:val="000000"/>
                <w:sz w:val="20"/>
                <w:szCs w:val="20"/>
                <w:lang w:eastAsia="es-AR"/>
              </w:rPr>
              <w:t>$ 60.493.631</w:t>
            </w:r>
          </w:p>
        </w:tc>
      </w:tr>
      <w:tr w:rsidR="007865D1" w:rsidRPr="00C642B7" w:rsidTr="007865D1">
        <w:trPr>
          <w:trHeight w:val="289"/>
        </w:trPr>
        <w:tc>
          <w:tcPr>
            <w:tcW w:w="7054" w:type="dxa"/>
            <w:tcBorders>
              <w:top w:val="nil"/>
              <w:left w:val="single" w:sz="4" w:space="0" w:color="auto"/>
              <w:bottom w:val="single" w:sz="4" w:space="0" w:color="auto"/>
              <w:right w:val="single" w:sz="4" w:space="0" w:color="auto"/>
            </w:tcBorders>
            <w:shd w:val="clear" w:color="auto" w:fill="auto"/>
            <w:noWrap/>
            <w:vAlign w:val="bottom"/>
            <w:hideMark/>
          </w:tcPr>
          <w:p w:rsidR="007865D1" w:rsidRPr="00C642B7" w:rsidRDefault="007865D1" w:rsidP="007865D1">
            <w:pPr>
              <w:jc w:val="both"/>
              <w:rPr>
                <w:rFonts w:ascii="Arial" w:hAnsi="Arial" w:cs="Arial"/>
                <w:color w:val="000000"/>
                <w:sz w:val="20"/>
                <w:szCs w:val="20"/>
                <w:lang w:eastAsia="es-AR"/>
              </w:rPr>
            </w:pPr>
            <w:r w:rsidRPr="00C642B7">
              <w:rPr>
                <w:rFonts w:ascii="Arial" w:hAnsi="Arial" w:cs="Arial"/>
                <w:color w:val="000000"/>
                <w:sz w:val="20"/>
                <w:szCs w:val="20"/>
                <w:lang w:eastAsia="es-AR"/>
              </w:rPr>
              <w:t xml:space="preserve">f. Asignación universal prenatal. </w:t>
            </w:r>
          </w:p>
        </w:tc>
        <w:tc>
          <w:tcPr>
            <w:tcW w:w="1897" w:type="dxa"/>
            <w:tcBorders>
              <w:top w:val="nil"/>
              <w:left w:val="nil"/>
              <w:bottom w:val="single" w:sz="4" w:space="0" w:color="auto"/>
              <w:right w:val="single" w:sz="4" w:space="0" w:color="auto"/>
            </w:tcBorders>
            <w:shd w:val="clear" w:color="auto" w:fill="auto"/>
            <w:noWrap/>
            <w:vAlign w:val="bottom"/>
            <w:hideMark/>
          </w:tcPr>
          <w:p w:rsidR="007865D1" w:rsidRPr="00C642B7" w:rsidRDefault="007865D1" w:rsidP="007865D1">
            <w:pPr>
              <w:jc w:val="right"/>
              <w:rPr>
                <w:rFonts w:ascii="Arial" w:hAnsi="Arial" w:cs="Arial"/>
                <w:sz w:val="20"/>
                <w:szCs w:val="20"/>
                <w:lang w:eastAsia="es-AR"/>
              </w:rPr>
            </w:pPr>
            <w:r w:rsidRPr="00C642B7">
              <w:rPr>
                <w:rFonts w:ascii="Arial" w:hAnsi="Arial" w:cs="Arial"/>
                <w:sz w:val="20"/>
                <w:szCs w:val="20"/>
                <w:lang w:eastAsia="es-AR"/>
              </w:rPr>
              <w:t>$ 3.897.330.693</w:t>
            </w:r>
          </w:p>
        </w:tc>
      </w:tr>
      <w:tr w:rsidR="007865D1" w:rsidRPr="00C642B7" w:rsidTr="007865D1">
        <w:trPr>
          <w:trHeight w:val="237"/>
        </w:trPr>
        <w:tc>
          <w:tcPr>
            <w:tcW w:w="7054" w:type="dxa"/>
            <w:tcBorders>
              <w:top w:val="nil"/>
              <w:left w:val="single" w:sz="4" w:space="0" w:color="auto"/>
              <w:bottom w:val="single" w:sz="4" w:space="0" w:color="auto"/>
              <w:right w:val="single" w:sz="4" w:space="0" w:color="auto"/>
            </w:tcBorders>
            <w:shd w:val="clear" w:color="auto" w:fill="auto"/>
            <w:noWrap/>
            <w:vAlign w:val="bottom"/>
            <w:hideMark/>
          </w:tcPr>
          <w:p w:rsidR="007865D1" w:rsidRPr="00C642B7" w:rsidRDefault="007865D1" w:rsidP="007865D1">
            <w:pPr>
              <w:jc w:val="both"/>
              <w:rPr>
                <w:rFonts w:ascii="Arial" w:hAnsi="Arial" w:cs="Arial"/>
                <w:color w:val="000000"/>
                <w:sz w:val="20"/>
                <w:szCs w:val="20"/>
                <w:lang w:eastAsia="es-AR"/>
              </w:rPr>
            </w:pPr>
            <w:r w:rsidRPr="00C642B7">
              <w:rPr>
                <w:rFonts w:ascii="Arial" w:hAnsi="Arial" w:cs="Arial"/>
                <w:color w:val="000000"/>
                <w:sz w:val="20"/>
                <w:szCs w:val="20"/>
                <w:lang w:eastAsia="es-AR"/>
              </w:rPr>
              <w:t>Total</w:t>
            </w:r>
          </w:p>
        </w:tc>
        <w:tc>
          <w:tcPr>
            <w:tcW w:w="1897" w:type="dxa"/>
            <w:tcBorders>
              <w:top w:val="nil"/>
              <w:left w:val="nil"/>
              <w:bottom w:val="single" w:sz="4" w:space="0" w:color="auto"/>
              <w:right w:val="single" w:sz="4" w:space="0" w:color="auto"/>
            </w:tcBorders>
            <w:shd w:val="clear" w:color="auto" w:fill="auto"/>
            <w:noWrap/>
            <w:vAlign w:val="bottom"/>
            <w:hideMark/>
          </w:tcPr>
          <w:p w:rsidR="007865D1" w:rsidRPr="00C642B7" w:rsidRDefault="007865D1" w:rsidP="007865D1">
            <w:pPr>
              <w:jc w:val="right"/>
              <w:rPr>
                <w:rFonts w:ascii="Arial" w:hAnsi="Arial" w:cs="Arial"/>
                <w:color w:val="000000"/>
                <w:sz w:val="20"/>
                <w:szCs w:val="20"/>
                <w:lang w:eastAsia="es-AR"/>
              </w:rPr>
            </w:pPr>
            <w:r w:rsidRPr="00C642B7">
              <w:rPr>
                <w:rFonts w:ascii="Arial" w:hAnsi="Arial" w:cs="Arial"/>
                <w:color w:val="000000"/>
                <w:sz w:val="20"/>
                <w:szCs w:val="20"/>
                <w:lang w:eastAsia="es-AR"/>
              </w:rPr>
              <w:t>$ 228.357.908.268</w:t>
            </w:r>
          </w:p>
        </w:tc>
      </w:tr>
    </w:tbl>
    <w:p w:rsidR="007865D1" w:rsidRPr="004E1A65" w:rsidRDefault="007865D1" w:rsidP="007865D1">
      <w:pPr>
        <w:jc w:val="center"/>
        <w:rPr>
          <w:sz w:val="20"/>
          <w:szCs w:val="20"/>
        </w:rPr>
      </w:pPr>
      <w:r w:rsidRPr="004E1A65">
        <w:rPr>
          <w:sz w:val="20"/>
          <w:szCs w:val="20"/>
        </w:rPr>
        <w:t>Fuente: estimación p</w:t>
      </w:r>
      <w:r>
        <w:rPr>
          <w:sz w:val="20"/>
          <w:szCs w:val="20"/>
        </w:rPr>
        <w:t>ropia en base a datos de oficiales.</w:t>
      </w:r>
    </w:p>
    <w:p w:rsidR="007865D1" w:rsidRPr="00012046" w:rsidRDefault="007865D1" w:rsidP="007865D1">
      <w:pPr>
        <w:jc w:val="both"/>
      </w:pPr>
      <w:r w:rsidRPr="00012046">
        <w:lastRenderedPageBreak/>
        <w:t>Ahora bien, si se contempla el presupuesto que actualmente se le otorga a las Asignaciones Familiares</w:t>
      </w:r>
      <w:r>
        <w:t xml:space="preserve"> (incluyendo los últimos incrementos a causa de la actualización de los topes y el aumento en el monto de la ayuda escolar), así como también los recursos no recibidos por el Estado en concepto de exenciones en el impuesto a las ganancias por hijo</w:t>
      </w:r>
      <w:r w:rsidRPr="00012046">
        <w:t xml:space="preserve"> se encuentra que el costo neto parcial es de </w:t>
      </w:r>
      <w:r w:rsidRPr="00012046">
        <w:rPr>
          <w:b/>
          <w:bCs/>
          <w:color w:val="000000"/>
          <w:lang w:eastAsia="es-AR"/>
        </w:rPr>
        <w:t xml:space="preserve">$ </w:t>
      </w:r>
      <w:r>
        <w:rPr>
          <w:b/>
          <w:bCs/>
          <w:color w:val="000000"/>
          <w:lang w:eastAsia="es-AR"/>
        </w:rPr>
        <w:t xml:space="preserve">165.746 </w:t>
      </w:r>
      <w:r w:rsidRPr="00012046">
        <w:rPr>
          <w:b/>
          <w:bCs/>
          <w:color w:val="000000"/>
          <w:lang w:eastAsia="es-AR"/>
        </w:rPr>
        <w:t xml:space="preserve">millones. </w:t>
      </w:r>
      <w:r w:rsidRPr="00012046">
        <w:rPr>
          <w:bCs/>
          <w:color w:val="000000"/>
          <w:lang w:eastAsia="es-AR"/>
        </w:rPr>
        <w:t xml:space="preserve">A esta inversión en protección a las familias es necesario restarle </w:t>
      </w:r>
      <w:r w:rsidRPr="00012046">
        <w:t xml:space="preserve">el efecto de autofinanciamiento que supone inyectar al mercado interno una masa monetaria de tal magnitud, en cual redunda en un ahorro de </w:t>
      </w:r>
      <w:r>
        <w:rPr>
          <w:b/>
          <w:color w:val="000000"/>
          <w:lang w:eastAsia="es-AR"/>
        </w:rPr>
        <w:t xml:space="preserve">$ </w:t>
      </w:r>
      <w:r w:rsidRPr="00F66952">
        <w:rPr>
          <w:b/>
          <w:color w:val="000000"/>
          <w:lang w:eastAsia="es-AR"/>
        </w:rPr>
        <w:t>60.912</w:t>
      </w:r>
      <w:r>
        <w:rPr>
          <w:b/>
          <w:color w:val="000000"/>
          <w:lang w:eastAsia="es-AR"/>
        </w:rPr>
        <w:t xml:space="preserve"> </w:t>
      </w:r>
      <w:r w:rsidRPr="00012046">
        <w:rPr>
          <w:b/>
          <w:color w:val="000000"/>
          <w:lang w:eastAsia="es-AR"/>
        </w:rPr>
        <w:t>millones.</w:t>
      </w:r>
      <w:r w:rsidRPr="00012046">
        <w:rPr>
          <w:color w:val="000000"/>
          <w:lang w:eastAsia="es-AR"/>
        </w:rPr>
        <w:t xml:space="preserve"> En síntesis, entonces </w:t>
      </w:r>
      <w:r w:rsidRPr="00012046">
        <w:t xml:space="preserve"> </w:t>
      </w:r>
      <w:r>
        <w:t>el</w:t>
      </w:r>
      <w:r w:rsidRPr="00012046">
        <w:t xml:space="preserve"> costo final es de </w:t>
      </w:r>
      <w:r>
        <w:t>$</w:t>
      </w:r>
      <w:r>
        <w:rPr>
          <w:b/>
          <w:bCs/>
          <w:color w:val="000000"/>
          <w:lang w:eastAsia="es-AR"/>
        </w:rPr>
        <w:t>104.834 millones</w:t>
      </w:r>
      <w:r w:rsidRPr="00012046">
        <w:rPr>
          <w:bCs/>
          <w:color w:val="000000"/>
          <w:lang w:eastAsia="es-AR"/>
        </w:rPr>
        <w:t xml:space="preserve"> de pesos anuales. </w:t>
      </w:r>
      <w:r>
        <w:rPr>
          <w:bCs/>
          <w:color w:val="000000"/>
          <w:lang w:eastAsia="es-AR"/>
        </w:rPr>
        <w:t>Cabe aclarar que dicho valor se encuentra sobreestimado en tanto debería descontarse también el gasto que las jurisdicciones provinciales y municipales destinan actualmente a financiar sus propios regímenes de asignaciones familiares, ya que la propuesta aquí presentada supone la unificación de los distintos regímenes vigentes.</w:t>
      </w:r>
    </w:p>
    <w:p w:rsidR="007865D1" w:rsidRDefault="007865D1" w:rsidP="007865D1">
      <w:pPr>
        <w:jc w:val="both"/>
      </w:pPr>
    </w:p>
    <w:p w:rsidR="007865D1" w:rsidRDefault="007865D1" w:rsidP="007865D1">
      <w:pPr>
        <w:jc w:val="both"/>
      </w:pPr>
      <w:r w:rsidRPr="00730ED4">
        <w:t xml:space="preserve">Cuadro N º </w:t>
      </w:r>
      <w:r w:rsidR="00615343">
        <w:t>10</w:t>
      </w:r>
      <w:r w:rsidRPr="00730ED4">
        <w:t>: Costo de llevar a cabo la universalización de las Asignaciones.</w:t>
      </w:r>
    </w:p>
    <w:tbl>
      <w:tblPr>
        <w:tblW w:w="7992" w:type="dxa"/>
        <w:jc w:val="center"/>
        <w:tblInd w:w="-3250" w:type="dxa"/>
        <w:tblCellMar>
          <w:left w:w="70" w:type="dxa"/>
          <w:right w:w="70" w:type="dxa"/>
        </w:tblCellMar>
        <w:tblLook w:val="04A0" w:firstRow="1" w:lastRow="0" w:firstColumn="1" w:lastColumn="0" w:noHBand="0" w:noVBand="1"/>
      </w:tblPr>
      <w:tblGrid>
        <w:gridCol w:w="5832"/>
        <w:gridCol w:w="2160"/>
      </w:tblGrid>
      <w:tr w:rsidR="007865D1" w:rsidRPr="00F52DD0" w:rsidTr="00843FCA">
        <w:trPr>
          <w:trHeight w:val="295"/>
          <w:jc w:val="center"/>
        </w:trPr>
        <w:tc>
          <w:tcPr>
            <w:tcW w:w="5832"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7865D1" w:rsidRPr="00F52DD0" w:rsidRDefault="007865D1" w:rsidP="007865D1">
            <w:pPr>
              <w:jc w:val="center"/>
              <w:rPr>
                <w:rFonts w:ascii="Arial" w:hAnsi="Arial" w:cs="Arial"/>
                <w:color w:val="FFFFFF"/>
                <w:sz w:val="20"/>
                <w:szCs w:val="20"/>
                <w:lang w:eastAsia="es-AR"/>
              </w:rPr>
            </w:pPr>
            <w:r w:rsidRPr="00F52DD0">
              <w:rPr>
                <w:rFonts w:ascii="Arial" w:hAnsi="Arial" w:cs="Arial"/>
                <w:color w:val="FFFFFF"/>
                <w:sz w:val="20"/>
                <w:szCs w:val="20"/>
                <w:lang w:eastAsia="es-AR"/>
              </w:rPr>
              <w:t>Prestación</w:t>
            </w:r>
          </w:p>
        </w:tc>
        <w:tc>
          <w:tcPr>
            <w:tcW w:w="2160" w:type="dxa"/>
            <w:tcBorders>
              <w:top w:val="single" w:sz="4" w:space="0" w:color="auto"/>
              <w:left w:val="nil"/>
              <w:bottom w:val="single" w:sz="4" w:space="0" w:color="auto"/>
              <w:right w:val="single" w:sz="4" w:space="0" w:color="auto"/>
            </w:tcBorders>
            <w:shd w:val="clear" w:color="000000" w:fill="0070C0"/>
            <w:noWrap/>
            <w:vAlign w:val="bottom"/>
            <w:hideMark/>
          </w:tcPr>
          <w:p w:rsidR="007865D1" w:rsidRPr="00F52DD0" w:rsidRDefault="007865D1" w:rsidP="007865D1">
            <w:pPr>
              <w:jc w:val="center"/>
              <w:rPr>
                <w:rFonts w:ascii="Arial" w:hAnsi="Arial" w:cs="Arial"/>
                <w:color w:val="FFFFFF"/>
                <w:sz w:val="20"/>
                <w:szCs w:val="20"/>
                <w:lang w:eastAsia="es-AR"/>
              </w:rPr>
            </w:pPr>
            <w:r w:rsidRPr="00F52DD0">
              <w:rPr>
                <w:rFonts w:ascii="Arial" w:hAnsi="Arial" w:cs="Arial"/>
                <w:color w:val="FFFFFF"/>
                <w:sz w:val="20"/>
                <w:szCs w:val="20"/>
                <w:lang w:eastAsia="es-AR"/>
              </w:rPr>
              <w:t>Costo Bruto Anual</w:t>
            </w:r>
          </w:p>
        </w:tc>
      </w:tr>
      <w:tr w:rsidR="007865D1" w:rsidRPr="00F52DD0" w:rsidTr="00843FCA">
        <w:trPr>
          <w:trHeight w:val="251"/>
          <w:jc w:val="center"/>
        </w:trPr>
        <w:tc>
          <w:tcPr>
            <w:tcW w:w="5832" w:type="dxa"/>
            <w:tcBorders>
              <w:top w:val="nil"/>
              <w:left w:val="single" w:sz="4" w:space="0" w:color="auto"/>
              <w:bottom w:val="single" w:sz="4" w:space="0" w:color="auto"/>
              <w:right w:val="single" w:sz="4" w:space="0" w:color="auto"/>
            </w:tcBorders>
            <w:shd w:val="clear" w:color="auto" w:fill="auto"/>
            <w:vAlign w:val="bottom"/>
            <w:hideMark/>
          </w:tcPr>
          <w:p w:rsidR="007865D1" w:rsidRPr="00F52DD0" w:rsidRDefault="007865D1" w:rsidP="007865D1">
            <w:pPr>
              <w:rPr>
                <w:rFonts w:ascii="Arial" w:hAnsi="Arial" w:cs="Arial"/>
                <w:b/>
                <w:bCs/>
                <w:color w:val="000000"/>
                <w:sz w:val="20"/>
                <w:szCs w:val="20"/>
                <w:lang w:eastAsia="es-AR"/>
              </w:rPr>
            </w:pPr>
            <w:r w:rsidRPr="00F52DD0">
              <w:rPr>
                <w:rFonts w:ascii="Arial" w:hAnsi="Arial" w:cs="Arial"/>
                <w:b/>
                <w:bCs/>
                <w:color w:val="000000"/>
                <w:sz w:val="20"/>
                <w:szCs w:val="20"/>
                <w:lang w:eastAsia="es-AR"/>
              </w:rPr>
              <w:t>AAFF Costo bruto anual</w:t>
            </w:r>
          </w:p>
        </w:tc>
        <w:tc>
          <w:tcPr>
            <w:tcW w:w="2160" w:type="dxa"/>
            <w:tcBorders>
              <w:top w:val="nil"/>
              <w:left w:val="nil"/>
              <w:bottom w:val="single" w:sz="4" w:space="0" w:color="auto"/>
              <w:right w:val="single" w:sz="4" w:space="0" w:color="auto"/>
            </w:tcBorders>
            <w:shd w:val="clear" w:color="auto" w:fill="auto"/>
            <w:noWrap/>
            <w:vAlign w:val="bottom"/>
            <w:hideMark/>
          </w:tcPr>
          <w:p w:rsidR="007865D1" w:rsidRPr="00F52DD0" w:rsidRDefault="007865D1" w:rsidP="007865D1">
            <w:pPr>
              <w:jc w:val="right"/>
              <w:rPr>
                <w:rFonts w:ascii="Arial" w:hAnsi="Arial" w:cs="Arial"/>
                <w:b/>
                <w:bCs/>
                <w:color w:val="000000"/>
                <w:sz w:val="20"/>
                <w:szCs w:val="20"/>
                <w:lang w:eastAsia="es-AR"/>
              </w:rPr>
            </w:pPr>
            <w:r w:rsidRPr="00F52DD0">
              <w:rPr>
                <w:rFonts w:ascii="Arial" w:hAnsi="Arial" w:cs="Arial"/>
                <w:b/>
                <w:bCs/>
                <w:color w:val="000000"/>
                <w:sz w:val="20"/>
                <w:szCs w:val="20"/>
                <w:lang w:eastAsia="es-AR"/>
              </w:rPr>
              <w:t>$ 228.357.908.268</w:t>
            </w:r>
          </w:p>
        </w:tc>
      </w:tr>
      <w:tr w:rsidR="007865D1" w:rsidRPr="00F52DD0" w:rsidTr="00843FCA">
        <w:trPr>
          <w:trHeight w:val="268"/>
          <w:jc w:val="center"/>
        </w:trPr>
        <w:tc>
          <w:tcPr>
            <w:tcW w:w="5832" w:type="dxa"/>
            <w:tcBorders>
              <w:top w:val="nil"/>
              <w:left w:val="single" w:sz="4" w:space="0" w:color="auto"/>
              <w:bottom w:val="single" w:sz="4" w:space="0" w:color="auto"/>
              <w:right w:val="single" w:sz="4" w:space="0" w:color="auto"/>
            </w:tcBorders>
            <w:shd w:val="clear" w:color="auto" w:fill="auto"/>
            <w:vAlign w:val="bottom"/>
            <w:hideMark/>
          </w:tcPr>
          <w:p w:rsidR="007865D1" w:rsidRPr="00F52DD0" w:rsidRDefault="007865D1" w:rsidP="007865D1">
            <w:pPr>
              <w:rPr>
                <w:rFonts w:ascii="Arial" w:hAnsi="Arial" w:cs="Arial"/>
                <w:color w:val="000000"/>
                <w:sz w:val="20"/>
                <w:szCs w:val="20"/>
                <w:lang w:eastAsia="es-AR"/>
              </w:rPr>
            </w:pPr>
            <w:r w:rsidRPr="00F52DD0">
              <w:rPr>
                <w:rFonts w:ascii="Arial" w:hAnsi="Arial" w:cs="Arial"/>
                <w:color w:val="000000"/>
                <w:sz w:val="20"/>
                <w:szCs w:val="20"/>
                <w:lang w:eastAsia="es-AR"/>
              </w:rPr>
              <w:t xml:space="preserve">AAFF vigentes(Contributivas y no contributivas) </w:t>
            </w:r>
          </w:p>
        </w:tc>
        <w:tc>
          <w:tcPr>
            <w:tcW w:w="2160" w:type="dxa"/>
            <w:tcBorders>
              <w:top w:val="nil"/>
              <w:left w:val="nil"/>
              <w:bottom w:val="single" w:sz="4" w:space="0" w:color="auto"/>
              <w:right w:val="single" w:sz="4" w:space="0" w:color="auto"/>
            </w:tcBorders>
            <w:shd w:val="clear" w:color="auto" w:fill="auto"/>
            <w:noWrap/>
            <w:vAlign w:val="bottom"/>
            <w:hideMark/>
          </w:tcPr>
          <w:p w:rsidR="007865D1" w:rsidRPr="00F52DD0" w:rsidRDefault="007865D1" w:rsidP="007865D1">
            <w:pPr>
              <w:jc w:val="right"/>
              <w:rPr>
                <w:rFonts w:ascii="Calibri" w:hAnsi="Calibri"/>
                <w:color w:val="000000"/>
                <w:lang w:eastAsia="es-AR"/>
              </w:rPr>
            </w:pPr>
            <w:r w:rsidRPr="00F52DD0">
              <w:rPr>
                <w:rFonts w:ascii="Calibri" w:hAnsi="Calibri"/>
                <w:color w:val="000000"/>
                <w:lang w:eastAsia="es-AR"/>
              </w:rPr>
              <w:t>$ 66.114.000.000</w:t>
            </w:r>
          </w:p>
        </w:tc>
      </w:tr>
      <w:tr w:rsidR="007865D1" w:rsidRPr="00F52DD0" w:rsidTr="00843FCA">
        <w:trPr>
          <w:trHeight w:val="378"/>
          <w:jc w:val="center"/>
        </w:trPr>
        <w:tc>
          <w:tcPr>
            <w:tcW w:w="5832" w:type="dxa"/>
            <w:tcBorders>
              <w:top w:val="nil"/>
              <w:left w:val="single" w:sz="4" w:space="0" w:color="auto"/>
              <w:bottom w:val="single" w:sz="4" w:space="0" w:color="auto"/>
              <w:right w:val="single" w:sz="4" w:space="0" w:color="auto"/>
            </w:tcBorders>
            <w:shd w:val="clear" w:color="auto" w:fill="auto"/>
            <w:vAlign w:val="bottom"/>
            <w:hideMark/>
          </w:tcPr>
          <w:p w:rsidR="007865D1" w:rsidRPr="00F52DD0" w:rsidRDefault="007865D1" w:rsidP="007865D1">
            <w:pPr>
              <w:rPr>
                <w:rFonts w:ascii="Arial" w:hAnsi="Arial" w:cs="Arial"/>
                <w:color w:val="000000"/>
                <w:sz w:val="20"/>
                <w:szCs w:val="20"/>
                <w:lang w:eastAsia="es-AR"/>
              </w:rPr>
            </w:pPr>
            <w:r w:rsidRPr="00F52DD0">
              <w:rPr>
                <w:rFonts w:ascii="Arial" w:hAnsi="Arial" w:cs="Arial"/>
                <w:color w:val="000000"/>
                <w:sz w:val="20"/>
                <w:szCs w:val="20"/>
                <w:lang w:eastAsia="es-AR"/>
              </w:rPr>
              <w:t>Costos AAFF no contempladas (Licencia, adopción y casamiento)</w:t>
            </w:r>
          </w:p>
        </w:tc>
        <w:tc>
          <w:tcPr>
            <w:tcW w:w="2160" w:type="dxa"/>
            <w:tcBorders>
              <w:top w:val="nil"/>
              <w:left w:val="nil"/>
              <w:bottom w:val="single" w:sz="4" w:space="0" w:color="auto"/>
              <w:right w:val="single" w:sz="4" w:space="0" w:color="auto"/>
            </w:tcBorders>
            <w:shd w:val="clear" w:color="auto" w:fill="auto"/>
            <w:noWrap/>
            <w:vAlign w:val="bottom"/>
            <w:hideMark/>
          </w:tcPr>
          <w:p w:rsidR="007865D1" w:rsidRPr="00F52DD0" w:rsidRDefault="007865D1" w:rsidP="007865D1">
            <w:pPr>
              <w:jc w:val="right"/>
              <w:rPr>
                <w:rFonts w:ascii="Calibri" w:hAnsi="Calibri"/>
                <w:color w:val="000000"/>
                <w:lang w:eastAsia="es-AR"/>
              </w:rPr>
            </w:pPr>
            <w:r w:rsidRPr="00F52DD0">
              <w:rPr>
                <w:rFonts w:ascii="Calibri" w:hAnsi="Calibri"/>
                <w:color w:val="000000"/>
                <w:lang w:eastAsia="es-AR"/>
              </w:rPr>
              <w:t>$ 3.502.277.649</w:t>
            </w:r>
          </w:p>
        </w:tc>
      </w:tr>
      <w:tr w:rsidR="007865D1" w:rsidRPr="00F52DD0" w:rsidTr="00843FCA">
        <w:trPr>
          <w:trHeight w:val="399"/>
          <w:jc w:val="center"/>
        </w:trPr>
        <w:tc>
          <w:tcPr>
            <w:tcW w:w="5832" w:type="dxa"/>
            <w:tcBorders>
              <w:top w:val="nil"/>
              <w:left w:val="single" w:sz="4" w:space="0" w:color="auto"/>
              <w:bottom w:val="single" w:sz="4" w:space="0" w:color="auto"/>
              <w:right w:val="single" w:sz="4" w:space="0" w:color="auto"/>
            </w:tcBorders>
            <w:shd w:val="clear" w:color="auto" w:fill="auto"/>
            <w:vAlign w:val="bottom"/>
            <w:hideMark/>
          </w:tcPr>
          <w:p w:rsidR="007865D1" w:rsidRPr="00F52DD0" w:rsidRDefault="007865D1" w:rsidP="007865D1">
            <w:pPr>
              <w:rPr>
                <w:rFonts w:ascii="Arial" w:hAnsi="Arial" w:cs="Arial"/>
                <w:b/>
                <w:bCs/>
                <w:color w:val="000000"/>
                <w:sz w:val="20"/>
                <w:szCs w:val="20"/>
                <w:lang w:eastAsia="es-AR"/>
              </w:rPr>
            </w:pPr>
            <w:r w:rsidRPr="00F52DD0">
              <w:rPr>
                <w:rFonts w:ascii="Arial" w:hAnsi="Arial" w:cs="Arial"/>
                <w:b/>
                <w:bCs/>
                <w:color w:val="000000"/>
                <w:sz w:val="20"/>
                <w:szCs w:val="20"/>
                <w:lang w:eastAsia="es-AR"/>
              </w:rPr>
              <w:t>Ahorro AAFF vigentes (- AAFF no</w:t>
            </w:r>
            <w:r>
              <w:rPr>
                <w:rFonts w:ascii="Arial" w:hAnsi="Arial" w:cs="Arial"/>
                <w:b/>
                <w:bCs/>
                <w:color w:val="000000"/>
                <w:sz w:val="20"/>
                <w:szCs w:val="20"/>
                <w:lang w:eastAsia="es-AR"/>
              </w:rPr>
              <w:t xml:space="preserve"> c</w:t>
            </w:r>
            <w:r w:rsidRPr="00F52DD0">
              <w:rPr>
                <w:rFonts w:ascii="Arial" w:hAnsi="Arial" w:cs="Arial"/>
                <w:b/>
                <w:bCs/>
                <w:color w:val="000000"/>
                <w:sz w:val="20"/>
                <w:szCs w:val="20"/>
                <w:lang w:eastAsia="es-AR"/>
              </w:rPr>
              <w:t>ontempladas)</w:t>
            </w:r>
          </w:p>
        </w:tc>
        <w:tc>
          <w:tcPr>
            <w:tcW w:w="2160" w:type="dxa"/>
            <w:tcBorders>
              <w:top w:val="nil"/>
              <w:left w:val="nil"/>
              <w:bottom w:val="single" w:sz="4" w:space="0" w:color="auto"/>
              <w:right w:val="single" w:sz="4" w:space="0" w:color="auto"/>
            </w:tcBorders>
            <w:shd w:val="clear" w:color="auto" w:fill="auto"/>
            <w:noWrap/>
            <w:vAlign w:val="bottom"/>
            <w:hideMark/>
          </w:tcPr>
          <w:p w:rsidR="007865D1" w:rsidRPr="00F52DD0" w:rsidRDefault="007865D1" w:rsidP="007865D1">
            <w:pPr>
              <w:jc w:val="right"/>
              <w:rPr>
                <w:rFonts w:ascii="Arial" w:hAnsi="Arial" w:cs="Arial"/>
                <w:b/>
                <w:bCs/>
                <w:color w:val="000000"/>
                <w:sz w:val="20"/>
                <w:szCs w:val="20"/>
                <w:lang w:eastAsia="es-AR"/>
              </w:rPr>
            </w:pPr>
            <w:r w:rsidRPr="00F52DD0">
              <w:rPr>
                <w:rFonts w:ascii="Arial" w:hAnsi="Arial" w:cs="Arial"/>
                <w:b/>
                <w:bCs/>
                <w:color w:val="000000"/>
                <w:sz w:val="20"/>
                <w:szCs w:val="20"/>
                <w:lang w:eastAsia="es-AR"/>
              </w:rPr>
              <w:t>$ 62.611.722.351</w:t>
            </w:r>
          </w:p>
        </w:tc>
      </w:tr>
      <w:tr w:rsidR="007865D1" w:rsidRPr="00F52DD0" w:rsidTr="00843FCA">
        <w:trPr>
          <w:trHeight w:val="391"/>
          <w:jc w:val="center"/>
        </w:trPr>
        <w:tc>
          <w:tcPr>
            <w:tcW w:w="5832" w:type="dxa"/>
            <w:tcBorders>
              <w:top w:val="nil"/>
              <w:left w:val="single" w:sz="4" w:space="0" w:color="auto"/>
              <w:bottom w:val="single" w:sz="4" w:space="0" w:color="auto"/>
              <w:right w:val="single" w:sz="4" w:space="0" w:color="auto"/>
            </w:tcBorders>
            <w:shd w:val="clear" w:color="auto" w:fill="auto"/>
            <w:vAlign w:val="bottom"/>
            <w:hideMark/>
          </w:tcPr>
          <w:p w:rsidR="007865D1" w:rsidRPr="00F52DD0" w:rsidRDefault="007865D1" w:rsidP="007865D1">
            <w:pPr>
              <w:rPr>
                <w:rFonts w:ascii="Arial" w:hAnsi="Arial" w:cs="Arial"/>
                <w:color w:val="000000"/>
                <w:sz w:val="20"/>
                <w:szCs w:val="20"/>
                <w:lang w:eastAsia="es-AR"/>
              </w:rPr>
            </w:pPr>
            <w:r w:rsidRPr="00F52DD0">
              <w:rPr>
                <w:rFonts w:ascii="Arial" w:hAnsi="Arial" w:cs="Arial"/>
                <w:color w:val="000000"/>
                <w:sz w:val="20"/>
                <w:szCs w:val="20"/>
                <w:lang w:eastAsia="es-AR"/>
              </w:rPr>
              <w:t>Ahorro impu</w:t>
            </w:r>
            <w:r>
              <w:rPr>
                <w:rFonts w:ascii="Arial" w:hAnsi="Arial" w:cs="Arial"/>
                <w:color w:val="000000"/>
                <w:sz w:val="20"/>
                <w:szCs w:val="20"/>
                <w:lang w:eastAsia="es-AR"/>
              </w:rPr>
              <w:t>e</w:t>
            </w:r>
            <w:r w:rsidRPr="00F52DD0">
              <w:rPr>
                <w:rFonts w:ascii="Arial" w:hAnsi="Arial" w:cs="Arial"/>
                <w:color w:val="000000"/>
                <w:sz w:val="20"/>
                <w:szCs w:val="20"/>
                <w:lang w:eastAsia="es-AR"/>
              </w:rPr>
              <w:t>sto a las ganancias</w:t>
            </w:r>
          </w:p>
        </w:tc>
        <w:tc>
          <w:tcPr>
            <w:tcW w:w="2160" w:type="dxa"/>
            <w:tcBorders>
              <w:top w:val="nil"/>
              <w:left w:val="nil"/>
              <w:bottom w:val="single" w:sz="4" w:space="0" w:color="auto"/>
              <w:right w:val="single" w:sz="4" w:space="0" w:color="auto"/>
            </w:tcBorders>
            <w:shd w:val="clear" w:color="auto" w:fill="auto"/>
            <w:noWrap/>
            <w:vAlign w:val="bottom"/>
            <w:hideMark/>
          </w:tcPr>
          <w:p w:rsidR="007865D1" w:rsidRPr="00F52DD0" w:rsidRDefault="007865D1" w:rsidP="007865D1">
            <w:pPr>
              <w:jc w:val="right"/>
              <w:rPr>
                <w:rFonts w:ascii="Calibri" w:hAnsi="Calibri"/>
                <w:color w:val="000000"/>
                <w:lang w:eastAsia="es-AR"/>
              </w:rPr>
            </w:pPr>
            <w:r w:rsidRPr="00F52DD0">
              <w:rPr>
                <w:rFonts w:ascii="Calibri" w:hAnsi="Calibri"/>
                <w:color w:val="000000"/>
                <w:lang w:eastAsia="es-AR"/>
              </w:rPr>
              <w:t>$ 506.190.344</w:t>
            </w:r>
          </w:p>
        </w:tc>
      </w:tr>
      <w:tr w:rsidR="007865D1" w:rsidRPr="00F52DD0" w:rsidTr="00843FCA">
        <w:trPr>
          <w:trHeight w:val="370"/>
          <w:jc w:val="center"/>
        </w:trPr>
        <w:tc>
          <w:tcPr>
            <w:tcW w:w="5832" w:type="dxa"/>
            <w:tcBorders>
              <w:top w:val="nil"/>
              <w:left w:val="single" w:sz="4" w:space="0" w:color="auto"/>
              <w:bottom w:val="single" w:sz="4" w:space="0" w:color="auto"/>
              <w:right w:val="single" w:sz="4" w:space="0" w:color="auto"/>
            </w:tcBorders>
            <w:shd w:val="clear" w:color="auto" w:fill="auto"/>
            <w:noWrap/>
            <w:vAlign w:val="bottom"/>
            <w:hideMark/>
          </w:tcPr>
          <w:p w:rsidR="007865D1" w:rsidRPr="00F52DD0" w:rsidRDefault="007865D1" w:rsidP="007865D1">
            <w:pPr>
              <w:rPr>
                <w:rFonts w:ascii="Arial" w:hAnsi="Arial" w:cs="Arial"/>
                <w:b/>
                <w:bCs/>
                <w:color w:val="000000"/>
                <w:sz w:val="20"/>
                <w:szCs w:val="20"/>
                <w:lang w:eastAsia="es-AR"/>
              </w:rPr>
            </w:pPr>
            <w:r w:rsidRPr="00F52DD0">
              <w:rPr>
                <w:rFonts w:ascii="Arial" w:hAnsi="Arial" w:cs="Arial"/>
                <w:b/>
                <w:bCs/>
                <w:color w:val="000000"/>
                <w:sz w:val="20"/>
                <w:szCs w:val="20"/>
                <w:lang w:eastAsia="es-AR"/>
              </w:rPr>
              <w:t>Costo neto parcial</w:t>
            </w:r>
          </w:p>
        </w:tc>
        <w:tc>
          <w:tcPr>
            <w:tcW w:w="2160" w:type="dxa"/>
            <w:tcBorders>
              <w:top w:val="nil"/>
              <w:left w:val="nil"/>
              <w:bottom w:val="single" w:sz="4" w:space="0" w:color="auto"/>
              <w:right w:val="single" w:sz="4" w:space="0" w:color="auto"/>
            </w:tcBorders>
            <w:shd w:val="clear" w:color="auto" w:fill="auto"/>
            <w:noWrap/>
            <w:vAlign w:val="bottom"/>
            <w:hideMark/>
          </w:tcPr>
          <w:p w:rsidR="007865D1" w:rsidRPr="00F52DD0" w:rsidRDefault="007865D1" w:rsidP="007865D1">
            <w:pPr>
              <w:jc w:val="right"/>
              <w:rPr>
                <w:rFonts w:ascii="Arial" w:hAnsi="Arial" w:cs="Arial"/>
                <w:b/>
                <w:bCs/>
                <w:color w:val="000000"/>
                <w:sz w:val="20"/>
                <w:szCs w:val="20"/>
                <w:lang w:eastAsia="es-AR"/>
              </w:rPr>
            </w:pPr>
            <w:r w:rsidRPr="00F52DD0">
              <w:rPr>
                <w:rFonts w:ascii="Arial" w:hAnsi="Arial" w:cs="Arial"/>
                <w:b/>
                <w:bCs/>
                <w:color w:val="000000"/>
                <w:sz w:val="20"/>
                <w:szCs w:val="20"/>
                <w:lang w:eastAsia="es-AR"/>
              </w:rPr>
              <w:t>$ 165.746.185.917</w:t>
            </w:r>
          </w:p>
        </w:tc>
      </w:tr>
      <w:tr w:rsidR="007865D1" w:rsidRPr="00F52DD0" w:rsidTr="00843FCA">
        <w:trPr>
          <w:trHeight w:val="281"/>
          <w:jc w:val="center"/>
        </w:trPr>
        <w:tc>
          <w:tcPr>
            <w:tcW w:w="5832" w:type="dxa"/>
            <w:tcBorders>
              <w:top w:val="nil"/>
              <w:left w:val="single" w:sz="4" w:space="0" w:color="auto"/>
              <w:bottom w:val="single" w:sz="4" w:space="0" w:color="auto"/>
              <w:right w:val="single" w:sz="4" w:space="0" w:color="auto"/>
            </w:tcBorders>
            <w:shd w:val="clear" w:color="auto" w:fill="auto"/>
            <w:noWrap/>
            <w:vAlign w:val="bottom"/>
            <w:hideMark/>
          </w:tcPr>
          <w:p w:rsidR="007865D1" w:rsidRPr="00F52DD0" w:rsidRDefault="007865D1" w:rsidP="007865D1">
            <w:pPr>
              <w:rPr>
                <w:rFonts w:ascii="Arial" w:hAnsi="Arial" w:cs="Arial"/>
                <w:color w:val="000000"/>
                <w:sz w:val="20"/>
                <w:szCs w:val="20"/>
                <w:lang w:eastAsia="es-AR"/>
              </w:rPr>
            </w:pPr>
            <w:r>
              <w:rPr>
                <w:rFonts w:ascii="Arial" w:hAnsi="Arial" w:cs="Arial"/>
                <w:color w:val="000000"/>
                <w:sz w:val="20"/>
                <w:szCs w:val="20"/>
                <w:lang w:eastAsia="es-AR"/>
              </w:rPr>
              <w:t>Autofinanciamiento</w:t>
            </w:r>
          </w:p>
        </w:tc>
        <w:tc>
          <w:tcPr>
            <w:tcW w:w="2160" w:type="dxa"/>
            <w:tcBorders>
              <w:top w:val="nil"/>
              <w:left w:val="nil"/>
              <w:bottom w:val="single" w:sz="4" w:space="0" w:color="auto"/>
              <w:right w:val="single" w:sz="4" w:space="0" w:color="auto"/>
            </w:tcBorders>
            <w:shd w:val="clear" w:color="auto" w:fill="auto"/>
            <w:noWrap/>
            <w:vAlign w:val="bottom"/>
            <w:hideMark/>
          </w:tcPr>
          <w:p w:rsidR="007865D1" w:rsidRPr="00F52DD0" w:rsidRDefault="007865D1" w:rsidP="007865D1">
            <w:pPr>
              <w:jc w:val="right"/>
              <w:rPr>
                <w:rFonts w:ascii="Arial" w:hAnsi="Arial" w:cs="Arial"/>
                <w:color w:val="000000"/>
                <w:sz w:val="20"/>
                <w:szCs w:val="20"/>
                <w:lang w:eastAsia="es-AR"/>
              </w:rPr>
            </w:pPr>
            <w:r w:rsidRPr="00F52DD0">
              <w:rPr>
                <w:rFonts w:ascii="Arial" w:hAnsi="Arial" w:cs="Arial"/>
                <w:color w:val="000000"/>
                <w:sz w:val="20"/>
                <w:szCs w:val="20"/>
                <w:lang w:eastAsia="es-AR"/>
              </w:rPr>
              <w:t>$ 60.911.723.325</w:t>
            </w:r>
          </w:p>
        </w:tc>
      </w:tr>
      <w:tr w:rsidR="007865D1" w:rsidRPr="00F52DD0" w:rsidTr="00843FCA">
        <w:trPr>
          <w:trHeight w:val="281"/>
          <w:jc w:val="center"/>
        </w:trPr>
        <w:tc>
          <w:tcPr>
            <w:tcW w:w="5832" w:type="dxa"/>
            <w:tcBorders>
              <w:top w:val="nil"/>
              <w:left w:val="single" w:sz="4" w:space="0" w:color="auto"/>
              <w:bottom w:val="single" w:sz="4" w:space="0" w:color="auto"/>
              <w:right w:val="single" w:sz="4" w:space="0" w:color="auto"/>
            </w:tcBorders>
            <w:shd w:val="clear" w:color="auto" w:fill="auto"/>
            <w:noWrap/>
            <w:vAlign w:val="bottom"/>
            <w:hideMark/>
          </w:tcPr>
          <w:p w:rsidR="007865D1" w:rsidRPr="00F52DD0" w:rsidRDefault="007865D1" w:rsidP="007865D1">
            <w:pPr>
              <w:rPr>
                <w:rFonts w:ascii="Arial" w:hAnsi="Arial" w:cs="Arial"/>
                <w:b/>
                <w:bCs/>
                <w:color w:val="000000"/>
                <w:sz w:val="20"/>
                <w:szCs w:val="20"/>
                <w:lang w:eastAsia="es-AR"/>
              </w:rPr>
            </w:pPr>
            <w:r w:rsidRPr="00F52DD0">
              <w:rPr>
                <w:rFonts w:ascii="Arial" w:hAnsi="Arial" w:cs="Arial"/>
                <w:b/>
                <w:bCs/>
                <w:color w:val="000000"/>
                <w:sz w:val="20"/>
                <w:szCs w:val="20"/>
                <w:lang w:eastAsia="es-AR"/>
              </w:rPr>
              <w:t>Costo Neto</w:t>
            </w:r>
          </w:p>
        </w:tc>
        <w:tc>
          <w:tcPr>
            <w:tcW w:w="2160" w:type="dxa"/>
            <w:tcBorders>
              <w:top w:val="nil"/>
              <w:left w:val="nil"/>
              <w:bottom w:val="single" w:sz="4" w:space="0" w:color="auto"/>
              <w:right w:val="single" w:sz="4" w:space="0" w:color="auto"/>
            </w:tcBorders>
            <w:shd w:val="clear" w:color="auto" w:fill="auto"/>
            <w:noWrap/>
            <w:vAlign w:val="bottom"/>
            <w:hideMark/>
          </w:tcPr>
          <w:p w:rsidR="007865D1" w:rsidRPr="00F52DD0" w:rsidRDefault="007865D1" w:rsidP="007865D1">
            <w:pPr>
              <w:jc w:val="right"/>
              <w:rPr>
                <w:rFonts w:ascii="Arial" w:hAnsi="Arial" w:cs="Arial"/>
                <w:b/>
                <w:bCs/>
                <w:color w:val="000000"/>
                <w:sz w:val="20"/>
                <w:szCs w:val="20"/>
                <w:lang w:eastAsia="es-AR"/>
              </w:rPr>
            </w:pPr>
            <w:r w:rsidRPr="00F52DD0">
              <w:rPr>
                <w:rFonts w:ascii="Arial" w:hAnsi="Arial" w:cs="Arial"/>
                <w:b/>
                <w:bCs/>
                <w:color w:val="000000"/>
                <w:sz w:val="20"/>
                <w:szCs w:val="20"/>
                <w:lang w:eastAsia="es-AR"/>
              </w:rPr>
              <w:t>$ 104.834.462.593</w:t>
            </w:r>
          </w:p>
        </w:tc>
      </w:tr>
    </w:tbl>
    <w:p w:rsidR="007865D1" w:rsidRPr="004E1A65" w:rsidRDefault="007865D1" w:rsidP="007865D1">
      <w:pPr>
        <w:jc w:val="center"/>
        <w:rPr>
          <w:sz w:val="20"/>
          <w:szCs w:val="20"/>
        </w:rPr>
      </w:pPr>
      <w:r>
        <w:rPr>
          <w:sz w:val="20"/>
          <w:szCs w:val="20"/>
        </w:rPr>
        <w:t>Fuente: E</w:t>
      </w:r>
      <w:r w:rsidRPr="004E1A65">
        <w:rPr>
          <w:sz w:val="20"/>
          <w:szCs w:val="20"/>
        </w:rPr>
        <w:t>stimación p</w:t>
      </w:r>
      <w:r>
        <w:rPr>
          <w:sz w:val="20"/>
          <w:szCs w:val="20"/>
        </w:rPr>
        <w:t>ropia en base a datos de oficiales.</w:t>
      </w:r>
    </w:p>
    <w:p w:rsidR="007865D1" w:rsidRPr="00607DFD" w:rsidRDefault="007865D1" w:rsidP="007865D1">
      <w:pPr>
        <w:rPr>
          <w:rFonts w:cs="Times New Roman"/>
        </w:rPr>
      </w:pPr>
    </w:p>
    <w:p w:rsidR="00607DFD" w:rsidRPr="00607DFD" w:rsidRDefault="00607DFD" w:rsidP="00607DFD">
      <w:pPr>
        <w:jc w:val="both"/>
        <w:rPr>
          <w:rFonts w:cs="Times New Roman"/>
        </w:rPr>
      </w:pPr>
      <w:r w:rsidRPr="00607DFD">
        <w:rPr>
          <w:rFonts w:cs="Times New Roman"/>
        </w:rPr>
        <w:t xml:space="preserve">Para dimensionar el peso </w:t>
      </w:r>
      <w:r>
        <w:rPr>
          <w:rFonts w:cs="Times New Roman"/>
        </w:rPr>
        <w:t>que implicaría dicho costo para el fisco, como así también en relación al tamaño de la economía argentina, en el siguiente cuadro se muestra que el mismo equivale al 7,2% del gasto público nacional de 2015, al 4,2% del gasto público consolidado y al 2,1% del PBI.</w:t>
      </w:r>
    </w:p>
    <w:p w:rsidR="00607DFD" w:rsidRPr="00607DFD" w:rsidRDefault="00607DFD" w:rsidP="007865D1">
      <w:pPr>
        <w:rPr>
          <w:rFonts w:cs="Times New Roman"/>
          <w:sz w:val="22"/>
        </w:rPr>
      </w:pPr>
    </w:p>
    <w:p w:rsidR="00607DFD" w:rsidRPr="00607DFD" w:rsidRDefault="00607DFD" w:rsidP="007865D1">
      <w:pPr>
        <w:rPr>
          <w:rFonts w:cs="Times New Roman"/>
          <w:szCs w:val="24"/>
        </w:rPr>
      </w:pPr>
      <w:r w:rsidRPr="00607DFD">
        <w:rPr>
          <w:rFonts w:cs="Times New Roman"/>
          <w:szCs w:val="24"/>
        </w:rPr>
        <w:t xml:space="preserve">Cuadro Nº 11: Costo neto de la reforma de AAFF en porcentaje del gasto público nacional y consolidado y del PBI. </w:t>
      </w:r>
    </w:p>
    <w:tbl>
      <w:tblPr>
        <w:tblW w:w="5250" w:type="dxa"/>
        <w:jc w:val="center"/>
        <w:tblInd w:w="-130" w:type="dxa"/>
        <w:tblCellMar>
          <w:left w:w="70" w:type="dxa"/>
          <w:right w:w="70" w:type="dxa"/>
        </w:tblCellMar>
        <w:tblLook w:val="04A0" w:firstRow="1" w:lastRow="0" w:firstColumn="1" w:lastColumn="0" w:noHBand="0" w:noVBand="1"/>
      </w:tblPr>
      <w:tblGrid>
        <w:gridCol w:w="2330"/>
        <w:gridCol w:w="1200"/>
        <w:gridCol w:w="1720"/>
      </w:tblGrid>
      <w:tr w:rsidR="00607DFD" w:rsidRPr="00607DFD" w:rsidTr="00607DFD">
        <w:trPr>
          <w:trHeight w:val="300"/>
          <w:jc w:val="center"/>
        </w:trPr>
        <w:tc>
          <w:tcPr>
            <w:tcW w:w="2330"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607DFD" w:rsidRPr="00607DFD" w:rsidRDefault="00607DFD" w:rsidP="00607DFD">
            <w:pPr>
              <w:jc w:val="center"/>
              <w:rPr>
                <w:rFonts w:ascii="Calibri" w:eastAsia="Times New Roman" w:hAnsi="Calibri" w:cs="Times New Roman"/>
                <w:color w:val="FFFFFF"/>
                <w:sz w:val="20"/>
                <w:szCs w:val="20"/>
                <w:lang w:eastAsia="es-AR"/>
              </w:rPr>
            </w:pPr>
          </w:p>
        </w:tc>
        <w:tc>
          <w:tcPr>
            <w:tcW w:w="1200" w:type="dxa"/>
            <w:tcBorders>
              <w:top w:val="single" w:sz="4" w:space="0" w:color="auto"/>
              <w:left w:val="nil"/>
              <w:bottom w:val="single" w:sz="4" w:space="0" w:color="auto"/>
              <w:right w:val="single" w:sz="4" w:space="0" w:color="auto"/>
            </w:tcBorders>
            <w:shd w:val="clear" w:color="000000" w:fill="0070C0"/>
            <w:noWrap/>
            <w:vAlign w:val="bottom"/>
            <w:hideMark/>
          </w:tcPr>
          <w:p w:rsidR="00607DFD" w:rsidRPr="00607DFD" w:rsidRDefault="00607DFD" w:rsidP="00607DFD">
            <w:pPr>
              <w:jc w:val="center"/>
              <w:rPr>
                <w:rFonts w:ascii="Calibri" w:eastAsia="Times New Roman" w:hAnsi="Calibri" w:cs="Times New Roman"/>
                <w:color w:val="FFFFFF"/>
                <w:sz w:val="20"/>
                <w:szCs w:val="20"/>
                <w:lang w:eastAsia="es-AR"/>
              </w:rPr>
            </w:pPr>
            <w:r w:rsidRPr="00607DFD">
              <w:rPr>
                <w:rFonts w:ascii="Calibri" w:eastAsia="Times New Roman" w:hAnsi="Calibri" w:cs="Times New Roman"/>
                <w:color w:val="FFFFFF"/>
                <w:sz w:val="20"/>
                <w:szCs w:val="20"/>
                <w:lang w:eastAsia="es-AR"/>
              </w:rPr>
              <w:t>En millones de pesos</w:t>
            </w:r>
          </w:p>
        </w:tc>
        <w:tc>
          <w:tcPr>
            <w:tcW w:w="1720" w:type="dxa"/>
            <w:tcBorders>
              <w:top w:val="single" w:sz="4" w:space="0" w:color="auto"/>
              <w:left w:val="nil"/>
              <w:bottom w:val="single" w:sz="4" w:space="0" w:color="auto"/>
              <w:right w:val="single" w:sz="4" w:space="0" w:color="auto"/>
            </w:tcBorders>
            <w:shd w:val="clear" w:color="000000" w:fill="0070C0"/>
            <w:noWrap/>
            <w:vAlign w:val="bottom"/>
            <w:hideMark/>
          </w:tcPr>
          <w:p w:rsidR="00607DFD" w:rsidRPr="00607DFD" w:rsidRDefault="00607DFD" w:rsidP="00607DFD">
            <w:pPr>
              <w:jc w:val="center"/>
              <w:rPr>
                <w:rFonts w:ascii="Calibri" w:eastAsia="Times New Roman" w:hAnsi="Calibri" w:cs="Times New Roman"/>
                <w:color w:val="FFFFFF"/>
                <w:sz w:val="20"/>
                <w:szCs w:val="20"/>
                <w:lang w:eastAsia="es-AR"/>
              </w:rPr>
            </w:pPr>
            <w:r w:rsidRPr="00607DFD">
              <w:rPr>
                <w:rFonts w:ascii="Calibri" w:eastAsia="Times New Roman" w:hAnsi="Calibri" w:cs="Times New Roman"/>
                <w:color w:val="FFFFFF"/>
                <w:sz w:val="20"/>
                <w:szCs w:val="20"/>
                <w:lang w:eastAsia="es-AR"/>
              </w:rPr>
              <w:t>Peso % del costo de la reforma AAFF</w:t>
            </w:r>
          </w:p>
        </w:tc>
      </w:tr>
      <w:tr w:rsidR="00607DFD" w:rsidRPr="00607DFD" w:rsidTr="00607DFD">
        <w:trPr>
          <w:trHeight w:val="300"/>
          <w:jc w:val="center"/>
        </w:trPr>
        <w:tc>
          <w:tcPr>
            <w:tcW w:w="2330" w:type="dxa"/>
            <w:tcBorders>
              <w:top w:val="nil"/>
              <w:left w:val="single" w:sz="4" w:space="0" w:color="auto"/>
              <w:bottom w:val="nil"/>
              <w:right w:val="single" w:sz="4" w:space="0" w:color="auto"/>
            </w:tcBorders>
            <w:shd w:val="clear" w:color="auto" w:fill="auto"/>
            <w:noWrap/>
            <w:vAlign w:val="bottom"/>
            <w:hideMark/>
          </w:tcPr>
          <w:p w:rsidR="00607DFD" w:rsidRPr="00607DFD" w:rsidRDefault="00607DFD" w:rsidP="00607DFD">
            <w:pPr>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Costo Neto Reforma AAFF</w:t>
            </w:r>
          </w:p>
        </w:tc>
        <w:tc>
          <w:tcPr>
            <w:tcW w:w="1200" w:type="dxa"/>
            <w:tcBorders>
              <w:top w:val="nil"/>
              <w:left w:val="nil"/>
              <w:bottom w:val="nil"/>
              <w:right w:val="single" w:sz="4" w:space="0" w:color="auto"/>
            </w:tcBorders>
            <w:shd w:val="clear" w:color="auto" w:fill="auto"/>
            <w:noWrap/>
            <w:vAlign w:val="bottom"/>
            <w:hideMark/>
          </w:tcPr>
          <w:p w:rsidR="00607DFD" w:rsidRPr="00607DFD" w:rsidRDefault="00607DFD" w:rsidP="00607DFD">
            <w:pPr>
              <w:jc w:val="right"/>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$ 104.834</w:t>
            </w:r>
          </w:p>
        </w:tc>
        <w:tc>
          <w:tcPr>
            <w:tcW w:w="1720" w:type="dxa"/>
            <w:tcBorders>
              <w:top w:val="nil"/>
              <w:left w:val="nil"/>
              <w:bottom w:val="nil"/>
              <w:right w:val="single" w:sz="4" w:space="0" w:color="auto"/>
            </w:tcBorders>
            <w:shd w:val="clear" w:color="auto" w:fill="auto"/>
            <w:noWrap/>
            <w:vAlign w:val="bottom"/>
            <w:hideMark/>
          </w:tcPr>
          <w:p w:rsidR="00607DFD" w:rsidRPr="00607DFD" w:rsidRDefault="00607DFD" w:rsidP="00607DFD">
            <w:pPr>
              <w:jc w:val="center"/>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w:t>
            </w:r>
          </w:p>
        </w:tc>
      </w:tr>
      <w:tr w:rsidR="00607DFD" w:rsidRPr="00607DFD" w:rsidTr="00607DFD">
        <w:trPr>
          <w:trHeight w:val="300"/>
          <w:jc w:val="center"/>
        </w:trPr>
        <w:tc>
          <w:tcPr>
            <w:tcW w:w="2330" w:type="dxa"/>
            <w:tcBorders>
              <w:top w:val="nil"/>
              <w:left w:val="single" w:sz="4" w:space="0" w:color="auto"/>
              <w:bottom w:val="nil"/>
              <w:right w:val="single" w:sz="4" w:space="0" w:color="auto"/>
            </w:tcBorders>
            <w:shd w:val="clear" w:color="auto" w:fill="auto"/>
            <w:noWrap/>
            <w:vAlign w:val="bottom"/>
            <w:hideMark/>
          </w:tcPr>
          <w:p w:rsidR="00607DFD" w:rsidRPr="00607DFD" w:rsidRDefault="00607DFD" w:rsidP="00607DFD">
            <w:pPr>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Gasto SPN</w:t>
            </w:r>
          </w:p>
        </w:tc>
        <w:tc>
          <w:tcPr>
            <w:tcW w:w="1200" w:type="dxa"/>
            <w:tcBorders>
              <w:top w:val="nil"/>
              <w:left w:val="nil"/>
              <w:bottom w:val="nil"/>
              <w:right w:val="single" w:sz="4" w:space="0" w:color="auto"/>
            </w:tcBorders>
            <w:shd w:val="clear" w:color="auto" w:fill="auto"/>
            <w:noWrap/>
            <w:vAlign w:val="bottom"/>
            <w:hideMark/>
          </w:tcPr>
          <w:p w:rsidR="00607DFD" w:rsidRPr="00607DFD" w:rsidRDefault="00607DFD" w:rsidP="00607DFD">
            <w:pPr>
              <w:jc w:val="right"/>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$ 1.464.728</w:t>
            </w:r>
          </w:p>
        </w:tc>
        <w:tc>
          <w:tcPr>
            <w:tcW w:w="1720" w:type="dxa"/>
            <w:tcBorders>
              <w:top w:val="nil"/>
              <w:left w:val="nil"/>
              <w:bottom w:val="nil"/>
              <w:right w:val="single" w:sz="4" w:space="0" w:color="auto"/>
            </w:tcBorders>
            <w:shd w:val="clear" w:color="auto" w:fill="auto"/>
            <w:noWrap/>
            <w:vAlign w:val="bottom"/>
            <w:hideMark/>
          </w:tcPr>
          <w:p w:rsidR="00607DFD" w:rsidRPr="00607DFD" w:rsidRDefault="00607DFD" w:rsidP="00607DFD">
            <w:pPr>
              <w:jc w:val="right"/>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7,2%</w:t>
            </w:r>
          </w:p>
        </w:tc>
      </w:tr>
      <w:tr w:rsidR="00607DFD" w:rsidRPr="00607DFD" w:rsidTr="00607DFD">
        <w:trPr>
          <w:trHeight w:val="300"/>
          <w:jc w:val="center"/>
        </w:trPr>
        <w:tc>
          <w:tcPr>
            <w:tcW w:w="2330" w:type="dxa"/>
            <w:tcBorders>
              <w:top w:val="nil"/>
              <w:left w:val="single" w:sz="4" w:space="0" w:color="auto"/>
              <w:bottom w:val="nil"/>
              <w:right w:val="single" w:sz="4" w:space="0" w:color="auto"/>
            </w:tcBorders>
            <w:shd w:val="clear" w:color="auto" w:fill="auto"/>
            <w:noWrap/>
            <w:vAlign w:val="bottom"/>
            <w:hideMark/>
          </w:tcPr>
          <w:p w:rsidR="00607DFD" w:rsidRPr="00607DFD" w:rsidRDefault="00607DFD" w:rsidP="00607DFD">
            <w:pPr>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Gasto SPC</w:t>
            </w:r>
          </w:p>
        </w:tc>
        <w:tc>
          <w:tcPr>
            <w:tcW w:w="1200" w:type="dxa"/>
            <w:tcBorders>
              <w:top w:val="nil"/>
              <w:left w:val="nil"/>
              <w:bottom w:val="nil"/>
              <w:right w:val="single" w:sz="4" w:space="0" w:color="auto"/>
            </w:tcBorders>
            <w:shd w:val="clear" w:color="auto" w:fill="auto"/>
            <w:noWrap/>
            <w:vAlign w:val="bottom"/>
            <w:hideMark/>
          </w:tcPr>
          <w:p w:rsidR="00607DFD" w:rsidRPr="00607DFD" w:rsidRDefault="00607DFD" w:rsidP="00607DFD">
            <w:pPr>
              <w:jc w:val="right"/>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$ 2.468.209</w:t>
            </w:r>
          </w:p>
        </w:tc>
        <w:tc>
          <w:tcPr>
            <w:tcW w:w="1720" w:type="dxa"/>
            <w:tcBorders>
              <w:top w:val="nil"/>
              <w:left w:val="nil"/>
              <w:bottom w:val="nil"/>
              <w:right w:val="single" w:sz="4" w:space="0" w:color="auto"/>
            </w:tcBorders>
            <w:shd w:val="clear" w:color="auto" w:fill="auto"/>
            <w:noWrap/>
            <w:vAlign w:val="bottom"/>
            <w:hideMark/>
          </w:tcPr>
          <w:p w:rsidR="00607DFD" w:rsidRPr="00607DFD" w:rsidRDefault="00607DFD" w:rsidP="00607DFD">
            <w:pPr>
              <w:jc w:val="right"/>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4,2%</w:t>
            </w:r>
          </w:p>
        </w:tc>
      </w:tr>
      <w:tr w:rsidR="00607DFD" w:rsidRPr="00607DFD" w:rsidTr="00607DFD">
        <w:trPr>
          <w:trHeight w:val="300"/>
          <w:jc w:val="center"/>
        </w:trPr>
        <w:tc>
          <w:tcPr>
            <w:tcW w:w="2330" w:type="dxa"/>
            <w:tcBorders>
              <w:top w:val="nil"/>
              <w:left w:val="single" w:sz="4" w:space="0" w:color="auto"/>
              <w:bottom w:val="single" w:sz="4" w:space="0" w:color="auto"/>
              <w:right w:val="single" w:sz="4" w:space="0" w:color="auto"/>
            </w:tcBorders>
            <w:shd w:val="clear" w:color="auto" w:fill="auto"/>
            <w:noWrap/>
            <w:vAlign w:val="bottom"/>
            <w:hideMark/>
          </w:tcPr>
          <w:p w:rsidR="00607DFD" w:rsidRPr="00607DFD" w:rsidRDefault="00607DFD" w:rsidP="00607DFD">
            <w:pPr>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PBI</w:t>
            </w:r>
            <w:r w:rsidR="000549AA">
              <w:rPr>
                <w:rFonts w:ascii="Calibri" w:eastAsia="Times New Roman" w:hAnsi="Calibri" w:cs="Times New Roman"/>
                <w:color w:val="000000"/>
                <w:sz w:val="20"/>
                <w:szCs w:val="20"/>
                <w:lang w:eastAsia="es-AR"/>
              </w:rPr>
              <w:t xml:space="preserve"> (2014)</w:t>
            </w:r>
          </w:p>
        </w:tc>
        <w:tc>
          <w:tcPr>
            <w:tcW w:w="1200" w:type="dxa"/>
            <w:tcBorders>
              <w:top w:val="nil"/>
              <w:left w:val="nil"/>
              <w:bottom w:val="single" w:sz="4" w:space="0" w:color="auto"/>
              <w:right w:val="single" w:sz="4" w:space="0" w:color="auto"/>
            </w:tcBorders>
            <w:shd w:val="clear" w:color="auto" w:fill="auto"/>
            <w:noWrap/>
            <w:vAlign w:val="bottom"/>
            <w:hideMark/>
          </w:tcPr>
          <w:p w:rsidR="00607DFD" w:rsidRPr="00607DFD" w:rsidRDefault="00607DFD" w:rsidP="00607DFD">
            <w:pPr>
              <w:jc w:val="right"/>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$ 4.947.550</w:t>
            </w:r>
          </w:p>
        </w:tc>
        <w:tc>
          <w:tcPr>
            <w:tcW w:w="1720" w:type="dxa"/>
            <w:tcBorders>
              <w:top w:val="nil"/>
              <w:left w:val="nil"/>
              <w:bottom w:val="single" w:sz="4" w:space="0" w:color="auto"/>
              <w:right w:val="single" w:sz="4" w:space="0" w:color="auto"/>
            </w:tcBorders>
            <w:shd w:val="clear" w:color="auto" w:fill="auto"/>
            <w:noWrap/>
            <w:vAlign w:val="bottom"/>
            <w:hideMark/>
          </w:tcPr>
          <w:p w:rsidR="00607DFD" w:rsidRPr="00607DFD" w:rsidRDefault="00607DFD" w:rsidP="00607DFD">
            <w:pPr>
              <w:jc w:val="right"/>
              <w:rPr>
                <w:rFonts w:ascii="Calibri" w:eastAsia="Times New Roman" w:hAnsi="Calibri" w:cs="Times New Roman"/>
                <w:color w:val="000000"/>
                <w:sz w:val="20"/>
                <w:szCs w:val="20"/>
                <w:lang w:eastAsia="es-AR"/>
              </w:rPr>
            </w:pPr>
            <w:r w:rsidRPr="00607DFD">
              <w:rPr>
                <w:rFonts w:ascii="Calibri" w:eastAsia="Times New Roman" w:hAnsi="Calibri" w:cs="Times New Roman"/>
                <w:color w:val="000000"/>
                <w:sz w:val="20"/>
                <w:szCs w:val="20"/>
                <w:lang w:eastAsia="es-AR"/>
              </w:rPr>
              <w:t>2,1%</w:t>
            </w:r>
          </w:p>
        </w:tc>
      </w:tr>
    </w:tbl>
    <w:p w:rsidR="00607DFD" w:rsidRPr="004E1A65" w:rsidRDefault="00607DFD" w:rsidP="00607DFD">
      <w:pPr>
        <w:jc w:val="center"/>
        <w:rPr>
          <w:sz w:val="20"/>
          <w:szCs w:val="20"/>
        </w:rPr>
      </w:pPr>
      <w:r>
        <w:rPr>
          <w:sz w:val="20"/>
          <w:szCs w:val="20"/>
        </w:rPr>
        <w:t>Fuente: E</w:t>
      </w:r>
      <w:r w:rsidRPr="004E1A65">
        <w:rPr>
          <w:sz w:val="20"/>
          <w:szCs w:val="20"/>
        </w:rPr>
        <w:t>stimación p</w:t>
      </w:r>
      <w:r>
        <w:rPr>
          <w:sz w:val="20"/>
          <w:szCs w:val="20"/>
        </w:rPr>
        <w:t>ropia en base a datos de oficiales.</w:t>
      </w:r>
    </w:p>
    <w:p w:rsidR="00607DFD" w:rsidRDefault="00607DFD" w:rsidP="007865D1">
      <w:pPr>
        <w:rPr>
          <w:rFonts w:ascii="Century" w:hAnsi="Century"/>
        </w:rPr>
      </w:pPr>
    </w:p>
    <w:p w:rsidR="007865D1" w:rsidRDefault="007865D1" w:rsidP="007865D1">
      <w:pPr>
        <w:jc w:val="both"/>
        <w:rPr>
          <w:b/>
          <w:i/>
          <w:u w:val="single"/>
        </w:rPr>
      </w:pPr>
    </w:p>
    <w:p w:rsidR="00607DFD" w:rsidRDefault="00607DFD" w:rsidP="007865D1">
      <w:pPr>
        <w:jc w:val="both"/>
        <w:rPr>
          <w:b/>
          <w:i/>
          <w:u w:val="single"/>
        </w:rPr>
      </w:pPr>
    </w:p>
    <w:p w:rsidR="00607DFD" w:rsidRDefault="00607DFD" w:rsidP="007865D1">
      <w:pPr>
        <w:jc w:val="both"/>
        <w:rPr>
          <w:b/>
          <w:i/>
          <w:u w:val="single"/>
        </w:rPr>
      </w:pPr>
    </w:p>
    <w:p w:rsidR="00607DFD" w:rsidRDefault="00607DFD" w:rsidP="007865D1">
      <w:pPr>
        <w:jc w:val="both"/>
        <w:rPr>
          <w:b/>
          <w:i/>
          <w:u w:val="single"/>
        </w:rPr>
      </w:pPr>
    </w:p>
    <w:p w:rsidR="00615343" w:rsidRDefault="000A5D88" w:rsidP="00607DFD">
      <w:pPr>
        <w:jc w:val="both"/>
      </w:pPr>
      <w:r>
        <w:lastRenderedPageBreak/>
        <w:t>Como fuentes complementarias para garantizar el financiamiento del proyecto presentado, proponemos las siguientes medidas</w:t>
      </w:r>
      <w:r w:rsidR="00615343">
        <w:t>:</w:t>
      </w:r>
    </w:p>
    <w:p w:rsidR="00615343" w:rsidRDefault="00615343" w:rsidP="00607DFD">
      <w:pPr>
        <w:pStyle w:val="Prrafodelista"/>
        <w:numPr>
          <w:ilvl w:val="0"/>
          <w:numId w:val="8"/>
        </w:numPr>
        <w:jc w:val="both"/>
      </w:pPr>
      <w:r>
        <w:t>Restitución de las contribuciones patronales al nivel de 1993 para las grandes firmas.</w:t>
      </w:r>
    </w:p>
    <w:p w:rsidR="00615343" w:rsidRPr="00615343" w:rsidRDefault="00615343" w:rsidP="00607DFD">
      <w:pPr>
        <w:pStyle w:val="Prrafodelista"/>
        <w:numPr>
          <w:ilvl w:val="0"/>
          <w:numId w:val="8"/>
        </w:numPr>
        <w:jc w:val="both"/>
      </w:pPr>
      <w:r w:rsidRPr="00615343">
        <w:t>Eliminar la base imponible máxima para los aportes salariales</w:t>
      </w:r>
    </w:p>
    <w:p w:rsidR="00615343" w:rsidRDefault="00615343" w:rsidP="00615343">
      <w:pPr>
        <w:pStyle w:val="Prrafodelista"/>
      </w:pPr>
    </w:p>
    <w:p w:rsidR="00615343" w:rsidRPr="0031345A" w:rsidRDefault="00615343" w:rsidP="00615343">
      <w:pPr>
        <w:rPr>
          <w:b/>
          <w:i/>
        </w:rPr>
      </w:pPr>
      <w:r w:rsidRPr="0031345A">
        <w:rPr>
          <w:b/>
          <w:i/>
        </w:rPr>
        <w:t>El total de recaudación que sería posible adicionar a ANSES mediante estas dos medidas estaría en torno a los $</w:t>
      </w:r>
      <w:r>
        <w:rPr>
          <w:b/>
          <w:i/>
        </w:rPr>
        <w:t>263.032</w:t>
      </w:r>
      <w:r w:rsidRPr="0031345A">
        <w:rPr>
          <w:b/>
          <w:i/>
        </w:rPr>
        <w:t xml:space="preserve"> millones</w:t>
      </w:r>
      <w:r>
        <w:rPr>
          <w:rStyle w:val="Refdenotaalpie"/>
          <w:b/>
          <w:i/>
        </w:rPr>
        <w:footnoteReference w:id="6"/>
      </w:r>
      <w:r w:rsidRPr="0031345A">
        <w:rPr>
          <w:b/>
          <w:i/>
        </w:rPr>
        <w:t>.</w:t>
      </w:r>
    </w:p>
    <w:p w:rsidR="00615343" w:rsidRDefault="00615343" w:rsidP="00615343"/>
    <w:p w:rsidR="00615343" w:rsidRDefault="00615343" w:rsidP="00615343"/>
    <w:p w:rsidR="00615343" w:rsidRDefault="00615343" w:rsidP="00615343">
      <w:pPr>
        <w:jc w:val="both"/>
      </w:pPr>
      <w:r>
        <w:t>Cuadro Nº 1</w:t>
      </w:r>
      <w:r w:rsidR="00607DFD">
        <w:t>2</w:t>
      </w:r>
      <w:r>
        <w:t xml:space="preserve">: </w:t>
      </w:r>
      <w:r w:rsidRPr="00C03190">
        <w:t xml:space="preserve">Estimación de la recaudación adicional generada por la restitución de las contribuciones patronales </w:t>
      </w:r>
      <w:r>
        <w:t>y de la recaudación adicional que implicaría eliminar la base imponible máxima para la realización de aportes. Proyección 2014.</w:t>
      </w:r>
    </w:p>
    <w:tbl>
      <w:tblPr>
        <w:tblW w:w="8147" w:type="dxa"/>
        <w:jc w:val="center"/>
        <w:tblInd w:w="-214" w:type="dxa"/>
        <w:tblCellMar>
          <w:left w:w="70" w:type="dxa"/>
          <w:right w:w="70" w:type="dxa"/>
        </w:tblCellMar>
        <w:tblLook w:val="04A0" w:firstRow="1" w:lastRow="0" w:firstColumn="1" w:lastColumn="0" w:noHBand="0" w:noVBand="1"/>
      </w:tblPr>
      <w:tblGrid>
        <w:gridCol w:w="6947"/>
        <w:gridCol w:w="1200"/>
      </w:tblGrid>
      <w:tr w:rsidR="00615343" w:rsidRPr="00FD25E5" w:rsidTr="00615343">
        <w:trPr>
          <w:trHeight w:val="300"/>
          <w:jc w:val="center"/>
        </w:trPr>
        <w:tc>
          <w:tcPr>
            <w:tcW w:w="6947"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615343" w:rsidRPr="00FD25E5" w:rsidRDefault="00615343" w:rsidP="00615343">
            <w:pPr>
              <w:rPr>
                <w:rFonts w:ascii="Arial" w:hAnsi="Arial" w:cs="Arial"/>
                <w:color w:val="FFFFFF"/>
                <w:sz w:val="20"/>
                <w:szCs w:val="20"/>
                <w:lang w:val="es-ES_tradnl" w:eastAsia="es-ES_tradnl"/>
              </w:rPr>
            </w:pPr>
            <w:r w:rsidRPr="00FD25E5">
              <w:rPr>
                <w:rFonts w:ascii="Arial" w:hAnsi="Arial" w:cs="Arial"/>
                <w:color w:val="FFFFFF"/>
                <w:sz w:val="20"/>
                <w:szCs w:val="20"/>
                <w:lang w:val="es-ES_tradnl" w:eastAsia="es-ES_tradnl"/>
              </w:rPr>
              <w:t> </w:t>
            </w:r>
          </w:p>
        </w:tc>
        <w:tc>
          <w:tcPr>
            <w:tcW w:w="1200" w:type="dxa"/>
            <w:tcBorders>
              <w:top w:val="single" w:sz="4" w:space="0" w:color="auto"/>
              <w:left w:val="nil"/>
              <w:bottom w:val="single" w:sz="4" w:space="0" w:color="auto"/>
              <w:right w:val="single" w:sz="4" w:space="0" w:color="auto"/>
            </w:tcBorders>
            <w:shd w:val="clear" w:color="000000" w:fill="0070C0"/>
            <w:noWrap/>
            <w:vAlign w:val="bottom"/>
            <w:hideMark/>
          </w:tcPr>
          <w:p w:rsidR="00615343" w:rsidRPr="00FD25E5" w:rsidRDefault="00615343" w:rsidP="00615343">
            <w:pPr>
              <w:jc w:val="center"/>
              <w:rPr>
                <w:rFonts w:ascii="Arial" w:hAnsi="Arial" w:cs="Arial"/>
                <w:color w:val="FFFFFF"/>
                <w:sz w:val="20"/>
                <w:szCs w:val="20"/>
                <w:lang w:val="es-ES_tradnl" w:eastAsia="es-ES_tradnl"/>
              </w:rPr>
            </w:pPr>
            <w:r w:rsidRPr="00FD25E5">
              <w:rPr>
                <w:rFonts w:ascii="Arial" w:hAnsi="Arial" w:cs="Arial"/>
                <w:color w:val="FFFFFF"/>
                <w:sz w:val="20"/>
                <w:szCs w:val="20"/>
                <w:lang w:val="es-ES_tradnl" w:eastAsia="es-ES_tradnl"/>
              </w:rPr>
              <w:t>En millones de pesos</w:t>
            </w:r>
          </w:p>
        </w:tc>
      </w:tr>
      <w:tr w:rsidR="00615343" w:rsidRPr="00FD25E5" w:rsidTr="00615343">
        <w:trPr>
          <w:trHeight w:val="300"/>
          <w:jc w:val="center"/>
        </w:trPr>
        <w:tc>
          <w:tcPr>
            <w:tcW w:w="6947" w:type="dxa"/>
            <w:tcBorders>
              <w:top w:val="nil"/>
              <w:left w:val="single" w:sz="4" w:space="0" w:color="auto"/>
              <w:bottom w:val="single" w:sz="4" w:space="0" w:color="auto"/>
              <w:right w:val="single" w:sz="4" w:space="0" w:color="auto"/>
            </w:tcBorders>
            <w:shd w:val="clear" w:color="auto" w:fill="auto"/>
            <w:noWrap/>
            <w:vAlign w:val="bottom"/>
            <w:hideMark/>
          </w:tcPr>
          <w:p w:rsidR="00615343" w:rsidRPr="00FD25E5" w:rsidRDefault="00615343" w:rsidP="00615343">
            <w:pPr>
              <w:rPr>
                <w:rFonts w:ascii="Arial" w:hAnsi="Arial" w:cs="Arial"/>
                <w:color w:val="000000"/>
                <w:sz w:val="20"/>
                <w:szCs w:val="20"/>
                <w:lang w:val="es-ES_tradnl" w:eastAsia="es-ES_tradnl"/>
              </w:rPr>
            </w:pPr>
            <w:r w:rsidRPr="00FD25E5">
              <w:rPr>
                <w:rFonts w:ascii="Arial" w:hAnsi="Arial" w:cs="Arial"/>
                <w:color w:val="000000"/>
                <w:sz w:val="20"/>
                <w:szCs w:val="20"/>
                <w:lang w:val="es-ES_tradnl" w:eastAsia="es-ES_tradnl"/>
              </w:rPr>
              <w:t>RECAUDACIÓN ADICIONAL DE CONTRIBUICIONES PATRONALES 2015</w:t>
            </w:r>
          </w:p>
        </w:tc>
        <w:tc>
          <w:tcPr>
            <w:tcW w:w="1200" w:type="dxa"/>
            <w:tcBorders>
              <w:top w:val="nil"/>
              <w:left w:val="nil"/>
              <w:bottom w:val="single" w:sz="4" w:space="0" w:color="auto"/>
              <w:right w:val="single" w:sz="4" w:space="0" w:color="auto"/>
            </w:tcBorders>
            <w:shd w:val="clear" w:color="auto" w:fill="auto"/>
            <w:noWrap/>
            <w:vAlign w:val="bottom"/>
            <w:hideMark/>
          </w:tcPr>
          <w:p w:rsidR="00615343" w:rsidRPr="00FD25E5" w:rsidRDefault="00615343" w:rsidP="00615343">
            <w:pPr>
              <w:jc w:val="right"/>
              <w:rPr>
                <w:rFonts w:ascii="Arial" w:hAnsi="Arial" w:cs="Arial"/>
                <w:color w:val="000000"/>
                <w:sz w:val="20"/>
                <w:szCs w:val="20"/>
                <w:lang w:val="es-ES_tradnl" w:eastAsia="es-ES_tradnl"/>
              </w:rPr>
            </w:pPr>
            <w:r w:rsidRPr="00FD25E5">
              <w:rPr>
                <w:rFonts w:ascii="Arial" w:hAnsi="Arial" w:cs="Arial"/>
                <w:color w:val="000000"/>
                <w:sz w:val="20"/>
                <w:szCs w:val="20"/>
                <w:lang w:eastAsia="es-ES_tradnl"/>
              </w:rPr>
              <w:t>244.243,70</w:t>
            </w:r>
          </w:p>
        </w:tc>
      </w:tr>
      <w:tr w:rsidR="00615343" w:rsidRPr="00FD25E5" w:rsidTr="00615343">
        <w:trPr>
          <w:trHeight w:val="300"/>
          <w:jc w:val="center"/>
        </w:trPr>
        <w:tc>
          <w:tcPr>
            <w:tcW w:w="6947" w:type="dxa"/>
            <w:tcBorders>
              <w:top w:val="nil"/>
              <w:left w:val="single" w:sz="4" w:space="0" w:color="auto"/>
              <w:bottom w:val="single" w:sz="4" w:space="0" w:color="auto"/>
              <w:right w:val="single" w:sz="4" w:space="0" w:color="auto"/>
            </w:tcBorders>
            <w:shd w:val="clear" w:color="auto" w:fill="auto"/>
            <w:noWrap/>
            <w:vAlign w:val="bottom"/>
            <w:hideMark/>
          </w:tcPr>
          <w:p w:rsidR="00615343" w:rsidRPr="00FD25E5" w:rsidRDefault="00615343" w:rsidP="00615343">
            <w:pPr>
              <w:rPr>
                <w:rFonts w:ascii="Calibri" w:hAnsi="Calibri" w:cs="Calibri"/>
                <w:color w:val="000000"/>
                <w:lang w:val="es-ES_tradnl" w:eastAsia="es-ES_tradnl"/>
              </w:rPr>
            </w:pPr>
            <w:r w:rsidRPr="00FD25E5">
              <w:rPr>
                <w:rFonts w:ascii="Calibri" w:hAnsi="Calibri" w:cs="Calibri"/>
                <w:color w:val="000000"/>
                <w:sz w:val="22"/>
                <w:lang w:val="es-ES_tradnl" w:eastAsia="es-ES_tradnl"/>
              </w:rPr>
              <w:t>Recaudación adicional que implicaría eliminar la base imponible máxima para la realización de aportes</w:t>
            </w:r>
          </w:p>
        </w:tc>
        <w:tc>
          <w:tcPr>
            <w:tcW w:w="1200" w:type="dxa"/>
            <w:tcBorders>
              <w:top w:val="nil"/>
              <w:left w:val="nil"/>
              <w:bottom w:val="single" w:sz="4" w:space="0" w:color="auto"/>
              <w:right w:val="single" w:sz="4" w:space="0" w:color="auto"/>
            </w:tcBorders>
            <w:shd w:val="clear" w:color="auto" w:fill="auto"/>
            <w:noWrap/>
            <w:vAlign w:val="bottom"/>
            <w:hideMark/>
          </w:tcPr>
          <w:p w:rsidR="00615343" w:rsidRPr="00FD25E5" w:rsidRDefault="00615343" w:rsidP="00615343">
            <w:pPr>
              <w:jc w:val="right"/>
              <w:rPr>
                <w:rFonts w:ascii="Arial" w:hAnsi="Arial" w:cs="Arial"/>
                <w:color w:val="000000"/>
                <w:sz w:val="20"/>
                <w:szCs w:val="20"/>
                <w:lang w:val="es-ES_tradnl" w:eastAsia="es-ES_tradnl"/>
              </w:rPr>
            </w:pPr>
            <w:r w:rsidRPr="00FD25E5">
              <w:rPr>
                <w:rFonts w:ascii="Arial" w:hAnsi="Arial" w:cs="Arial"/>
                <w:color w:val="000000"/>
                <w:sz w:val="20"/>
                <w:szCs w:val="20"/>
                <w:lang w:val="es-ES_tradnl" w:eastAsia="es-ES_tradnl"/>
              </w:rPr>
              <w:t>18.787,69</w:t>
            </w:r>
          </w:p>
        </w:tc>
      </w:tr>
      <w:tr w:rsidR="00615343" w:rsidRPr="00FD25E5" w:rsidTr="00615343">
        <w:trPr>
          <w:trHeight w:val="300"/>
          <w:jc w:val="center"/>
        </w:trPr>
        <w:tc>
          <w:tcPr>
            <w:tcW w:w="6947" w:type="dxa"/>
            <w:tcBorders>
              <w:top w:val="nil"/>
              <w:left w:val="single" w:sz="4" w:space="0" w:color="auto"/>
              <w:bottom w:val="single" w:sz="4" w:space="0" w:color="auto"/>
              <w:right w:val="single" w:sz="4" w:space="0" w:color="auto"/>
            </w:tcBorders>
            <w:shd w:val="clear" w:color="auto" w:fill="auto"/>
            <w:noWrap/>
            <w:vAlign w:val="bottom"/>
            <w:hideMark/>
          </w:tcPr>
          <w:p w:rsidR="00615343" w:rsidRPr="00FD25E5" w:rsidRDefault="00615343" w:rsidP="00615343">
            <w:pPr>
              <w:rPr>
                <w:rFonts w:ascii="Calibri" w:hAnsi="Calibri" w:cs="Calibri"/>
                <w:b/>
                <w:bCs/>
                <w:color w:val="000000"/>
                <w:lang w:val="es-ES_tradnl" w:eastAsia="es-ES_tradnl"/>
              </w:rPr>
            </w:pPr>
            <w:r w:rsidRPr="00FD25E5">
              <w:rPr>
                <w:rFonts w:ascii="Calibri" w:hAnsi="Calibri" w:cs="Calibri"/>
                <w:b/>
                <w:bCs/>
                <w:color w:val="000000"/>
                <w:sz w:val="22"/>
                <w:lang w:val="es-ES_tradnl" w:eastAsia="es-ES_tradnl"/>
              </w:rPr>
              <w:t>TOTAL FUENTES DE FINANCIAMIENTO ADICIONALES</w:t>
            </w:r>
          </w:p>
        </w:tc>
        <w:tc>
          <w:tcPr>
            <w:tcW w:w="1200" w:type="dxa"/>
            <w:tcBorders>
              <w:top w:val="nil"/>
              <w:left w:val="nil"/>
              <w:bottom w:val="single" w:sz="4" w:space="0" w:color="auto"/>
              <w:right w:val="single" w:sz="4" w:space="0" w:color="auto"/>
            </w:tcBorders>
            <w:shd w:val="clear" w:color="auto" w:fill="auto"/>
            <w:noWrap/>
            <w:vAlign w:val="bottom"/>
            <w:hideMark/>
          </w:tcPr>
          <w:p w:rsidR="00615343" w:rsidRPr="00FD25E5" w:rsidRDefault="00615343" w:rsidP="00615343">
            <w:pPr>
              <w:jc w:val="right"/>
              <w:rPr>
                <w:rFonts w:ascii="Arial" w:hAnsi="Arial" w:cs="Arial"/>
                <w:b/>
                <w:bCs/>
                <w:color w:val="000000"/>
                <w:sz w:val="20"/>
                <w:szCs w:val="20"/>
                <w:lang w:val="es-ES_tradnl" w:eastAsia="es-ES_tradnl"/>
              </w:rPr>
            </w:pPr>
            <w:r w:rsidRPr="00FD25E5">
              <w:rPr>
                <w:rFonts w:ascii="Arial" w:hAnsi="Arial" w:cs="Arial"/>
                <w:b/>
                <w:bCs/>
                <w:color w:val="000000"/>
                <w:sz w:val="20"/>
                <w:szCs w:val="20"/>
                <w:lang w:val="es-ES_tradnl" w:eastAsia="es-ES_tradnl"/>
              </w:rPr>
              <w:t>263.031,39</w:t>
            </w:r>
          </w:p>
        </w:tc>
      </w:tr>
    </w:tbl>
    <w:p w:rsidR="00615343" w:rsidRPr="00843FCA" w:rsidRDefault="00843FCA" w:rsidP="00843FCA">
      <w:pPr>
        <w:jc w:val="center"/>
        <w:rPr>
          <w:sz w:val="20"/>
          <w:szCs w:val="20"/>
        </w:rPr>
      </w:pPr>
      <w:r>
        <w:rPr>
          <w:sz w:val="20"/>
          <w:szCs w:val="20"/>
        </w:rPr>
        <w:t>Fuente: Elaboración propia en base a datos oficiales.</w:t>
      </w:r>
    </w:p>
    <w:p w:rsidR="00615343" w:rsidRDefault="00615343" w:rsidP="00615343">
      <w:pPr>
        <w:pStyle w:val="Prrafodelista"/>
      </w:pPr>
    </w:p>
    <w:p w:rsidR="00C920F8" w:rsidRDefault="00843FCA" w:rsidP="000549AA">
      <w:pPr>
        <w:jc w:val="both"/>
        <w:rPr>
          <w:b/>
          <w:i/>
          <w:sz w:val="28"/>
          <w:szCs w:val="28"/>
          <w:u w:val="single"/>
        </w:rPr>
      </w:pPr>
      <w:r>
        <w:t xml:space="preserve">A su vez, ello puede complementarse con la creación de nuevas fuentes de financiamiento progresivas como </w:t>
      </w:r>
      <w:r w:rsidR="00615343">
        <w:t xml:space="preserve"> </w:t>
      </w:r>
      <w:r w:rsidR="00615343" w:rsidRPr="00874AE0">
        <w:rPr>
          <w:rFonts w:eastAsia="Calibri"/>
        </w:rPr>
        <w:t>la recu</w:t>
      </w:r>
      <w:r>
        <w:rPr>
          <w:rFonts w:eastAsia="Calibri"/>
        </w:rPr>
        <w:t>peración de la renta petrolera,</w:t>
      </w:r>
      <w:r w:rsidR="00615343" w:rsidRPr="00874AE0">
        <w:rPr>
          <w:rFonts w:eastAsia="Calibri"/>
        </w:rPr>
        <w:t xml:space="preserve"> la eliminación de exenciones en ganancias, IVA, combustibles y regímenes de promoción industrial</w:t>
      </w:r>
      <w:r>
        <w:rPr>
          <w:rFonts w:eastAsia="Calibri"/>
        </w:rPr>
        <w:t>, etc.</w:t>
      </w: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920F8" w:rsidRDefault="00C920F8" w:rsidP="00906B73">
      <w:pPr>
        <w:rPr>
          <w:b/>
          <w:i/>
          <w:sz w:val="28"/>
          <w:szCs w:val="28"/>
          <w:u w:val="single"/>
        </w:rPr>
      </w:pPr>
    </w:p>
    <w:p w:rsidR="00C85658" w:rsidRDefault="00C85658">
      <w:pPr>
        <w:rPr>
          <w:b/>
          <w:i/>
          <w:sz w:val="22"/>
          <w:u w:val="single"/>
        </w:rPr>
      </w:pPr>
      <w:r>
        <w:rPr>
          <w:b/>
          <w:i/>
          <w:sz w:val="22"/>
          <w:u w:val="single"/>
        </w:rPr>
        <w:br w:type="page"/>
      </w:r>
    </w:p>
    <w:p w:rsidR="00906B73" w:rsidRPr="00C920F8" w:rsidRDefault="00906B73" w:rsidP="00906B73">
      <w:pPr>
        <w:rPr>
          <w:b/>
          <w:i/>
          <w:sz w:val="22"/>
          <w:lang w:val="es-ES"/>
        </w:rPr>
      </w:pPr>
      <w:r w:rsidRPr="00C920F8">
        <w:rPr>
          <w:b/>
          <w:i/>
          <w:sz w:val="22"/>
          <w:u w:val="single"/>
        </w:rPr>
        <w:lastRenderedPageBreak/>
        <w:t>Anexo</w:t>
      </w:r>
      <w:proofErr w:type="gramStart"/>
      <w:r w:rsidRPr="00C920F8">
        <w:rPr>
          <w:b/>
          <w:i/>
          <w:sz w:val="22"/>
          <w:u w:val="single"/>
        </w:rPr>
        <w:t>:</w:t>
      </w:r>
      <w:r w:rsidRPr="00C920F8">
        <w:rPr>
          <w:sz w:val="22"/>
        </w:rPr>
        <w:t xml:space="preserve"> </w:t>
      </w:r>
      <w:r w:rsidRPr="00C920F8">
        <w:rPr>
          <w:b/>
          <w:i/>
          <w:sz w:val="22"/>
          <w:lang w:val="es-ES"/>
        </w:rPr>
        <w:t xml:space="preserve"> AUH</w:t>
      </w:r>
      <w:proofErr w:type="gramEnd"/>
      <w:r w:rsidRPr="00C920F8">
        <w:rPr>
          <w:b/>
          <w:i/>
          <w:sz w:val="22"/>
          <w:lang w:val="es-ES"/>
        </w:rPr>
        <w:t xml:space="preserve">, evolución nominal y real (2009-2015). </w:t>
      </w:r>
    </w:p>
    <w:p w:rsidR="00906B73" w:rsidRDefault="00906B73" w:rsidP="00C920F8">
      <w:pPr>
        <w:ind w:left="-1134"/>
        <w:jc w:val="center"/>
        <w:rPr>
          <w:b/>
          <w:i/>
          <w:sz w:val="22"/>
          <w:lang w:val="es-ES"/>
        </w:rPr>
      </w:pPr>
      <w:r w:rsidRPr="00377E07">
        <w:rPr>
          <w:noProof/>
          <w:lang w:eastAsia="es-AR"/>
        </w:rPr>
        <w:drawing>
          <wp:inline distT="0" distB="0" distL="0" distR="0">
            <wp:extent cx="6397786" cy="7834318"/>
            <wp:effectExtent l="19050" t="0" r="3014"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6397786" cy="7834318"/>
                    </a:xfrm>
                    <a:prstGeom prst="rect">
                      <a:avLst/>
                    </a:prstGeom>
                    <a:noFill/>
                    <a:ln w="9525">
                      <a:noFill/>
                      <a:miter lim="800000"/>
                      <a:headEnd/>
                      <a:tailEnd/>
                    </a:ln>
                  </pic:spPr>
                </pic:pic>
              </a:graphicData>
            </a:graphic>
          </wp:inline>
        </w:drawing>
      </w:r>
    </w:p>
    <w:p w:rsidR="00906B73" w:rsidRDefault="00906B73" w:rsidP="00C920F8">
      <w:pPr>
        <w:jc w:val="center"/>
      </w:pPr>
      <w:r w:rsidRPr="00C23984">
        <w:rPr>
          <w:i/>
          <w:sz w:val="18"/>
          <w:szCs w:val="18"/>
          <w:u w:val="single"/>
          <w:lang w:val="es-ES"/>
        </w:rPr>
        <w:t>Fuente:</w:t>
      </w:r>
      <w:r w:rsidRPr="00C23984">
        <w:rPr>
          <w:i/>
          <w:sz w:val="18"/>
          <w:szCs w:val="18"/>
          <w:lang w:val="es-ES"/>
        </w:rPr>
        <w:t xml:space="preserve"> </w:t>
      </w:r>
      <w:r w:rsidRPr="00C23984">
        <w:rPr>
          <w:sz w:val="18"/>
          <w:szCs w:val="18"/>
          <w:lang w:val="es-ES"/>
        </w:rPr>
        <w:t xml:space="preserve">Elaboración propia en base a ANSES e IPC 4 provincias, IPC </w:t>
      </w:r>
      <w:proofErr w:type="spellStart"/>
      <w:r w:rsidRPr="00C23984">
        <w:rPr>
          <w:sz w:val="18"/>
          <w:szCs w:val="18"/>
          <w:lang w:val="es-ES"/>
        </w:rPr>
        <w:t>Bevacqua</w:t>
      </w:r>
      <w:proofErr w:type="spellEnd"/>
      <w:r w:rsidRPr="00C23984">
        <w:rPr>
          <w:sz w:val="18"/>
          <w:szCs w:val="18"/>
          <w:lang w:val="es-ES"/>
        </w:rPr>
        <w:t xml:space="preserve"> e IPC CABA.</w:t>
      </w:r>
    </w:p>
    <w:sectPr w:rsidR="00906B73" w:rsidSect="002F569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6F6" w:rsidRDefault="007966F6" w:rsidP="0097229E">
      <w:r>
        <w:separator/>
      </w:r>
    </w:p>
  </w:endnote>
  <w:endnote w:type="continuationSeparator" w:id="0">
    <w:p w:rsidR="007966F6" w:rsidRDefault="007966F6" w:rsidP="00972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6F6" w:rsidRDefault="007966F6" w:rsidP="0097229E">
      <w:r>
        <w:separator/>
      </w:r>
    </w:p>
  </w:footnote>
  <w:footnote w:type="continuationSeparator" w:id="0">
    <w:p w:rsidR="007966F6" w:rsidRDefault="007966F6" w:rsidP="0097229E">
      <w:r>
        <w:continuationSeparator/>
      </w:r>
    </w:p>
  </w:footnote>
  <w:footnote w:id="1">
    <w:p w:rsidR="00615343" w:rsidRDefault="00615343" w:rsidP="0097229E">
      <w:pPr>
        <w:pStyle w:val="Textonotapie"/>
        <w:ind w:left="180" w:hanging="180"/>
        <w:jc w:val="both"/>
      </w:pPr>
      <w:r>
        <w:rPr>
          <w:rStyle w:val="Refdenotaalpie"/>
        </w:rPr>
        <w:footnoteRef/>
      </w:r>
      <w:r>
        <w:t xml:space="preserve"> </w:t>
      </w:r>
      <w:r w:rsidRPr="00CB15D7">
        <w:rPr>
          <w:rFonts w:eastAsia="Arial Unicode MS"/>
          <w:sz w:val="18"/>
          <w:szCs w:val="18"/>
          <w:lang w:val="es-ES" w:eastAsia="es-ES"/>
        </w:rPr>
        <w:t>Cabe mencionar que conforme a la cantidad de años que lleva la intervención oficial en el INDEC y con ello la</w:t>
      </w:r>
      <w:r>
        <w:rPr>
          <w:rFonts w:eastAsia="Arial Unicode MS"/>
          <w:sz w:val="18"/>
          <w:szCs w:val="18"/>
          <w:lang w:val="es-ES" w:eastAsia="es-ES"/>
        </w:rPr>
        <w:t xml:space="preserve"> </w:t>
      </w:r>
      <w:r w:rsidRPr="00CB15D7">
        <w:rPr>
          <w:rFonts w:eastAsia="Arial Unicode MS"/>
          <w:sz w:val="18"/>
          <w:szCs w:val="18"/>
          <w:lang w:val="es-ES" w:eastAsia="es-ES"/>
        </w:rPr>
        <w:t>manipulación de las estadísticas públicas, especialmente en torno a la valorización de las líneas de pobreza e indigencia, las canastas están excesivamente subvaluadas y no permiten visibilizar esta cuestión.</w:t>
      </w:r>
    </w:p>
  </w:footnote>
  <w:footnote w:id="2">
    <w:p w:rsidR="00615343" w:rsidRPr="00FB0139" w:rsidRDefault="00615343" w:rsidP="00C85658">
      <w:pPr>
        <w:pStyle w:val="Textonotapie"/>
        <w:rPr>
          <w:lang w:val="es-ES_tradnl"/>
        </w:rPr>
      </w:pPr>
      <w:r>
        <w:rPr>
          <w:rStyle w:val="Refdenotaalpie"/>
        </w:rPr>
        <w:footnoteRef/>
      </w:r>
      <w:r>
        <w:t xml:space="preserve"> E</w:t>
      </w:r>
      <w:r>
        <w:rPr>
          <w:lang w:val="es-ES_tradnl"/>
        </w:rPr>
        <w:t xml:space="preserve">n resumidas cuentas consiste en la actualización del patrón de consumo de la CBA y la medición directa de los componentes no alimentarios de la CBT. Ver más en: </w:t>
      </w:r>
      <w:r w:rsidRPr="00297CC3">
        <w:t>“El mapa de la pobreza en Argentina: los efectos de actualizar la metodología”</w:t>
      </w:r>
      <w:r>
        <w:t xml:space="preserve">, Diciembre 2006; “El deterioro de las condiciones de vida de la población al tercer trimestre de 2014”, Noviembre 2014, </w:t>
      </w:r>
      <w:proofErr w:type="spellStart"/>
      <w:r>
        <w:t>Ipypp</w:t>
      </w:r>
      <w:proofErr w:type="spellEnd"/>
      <w:r>
        <w:t>.</w:t>
      </w:r>
    </w:p>
  </w:footnote>
  <w:footnote w:id="3">
    <w:p w:rsidR="00615343" w:rsidRPr="00971972" w:rsidRDefault="00615343" w:rsidP="00C85658">
      <w:pPr>
        <w:pStyle w:val="Textonotapie"/>
        <w:rPr>
          <w:lang w:val="es-ES_tradnl"/>
        </w:rPr>
      </w:pPr>
      <w:r>
        <w:rPr>
          <w:rStyle w:val="Refdenotaalpie"/>
        </w:rPr>
        <w:footnoteRef/>
      </w:r>
      <w:r>
        <w:t xml:space="preserve"> </w:t>
      </w:r>
      <w:r w:rsidRPr="001C7CE1">
        <w:rPr>
          <w:rFonts w:cs="Times New Roman"/>
        </w:rPr>
        <w:t xml:space="preserve">Para el año 2007 se utilizó la medición elaborada por la Comisión Técnica ATE-INDEC; entre Enero 2008 y Abril 2012 se recurre al Índice 4 Provincias (Chubut, Neuquén, San Luis y Santa Fe); entre Mayo 2012 y Agosto 2013 utiliza IPC Graciela </w:t>
      </w:r>
      <w:proofErr w:type="spellStart"/>
      <w:r w:rsidRPr="001C7CE1">
        <w:rPr>
          <w:rFonts w:cs="Times New Roman"/>
        </w:rPr>
        <w:t>Bevacqua</w:t>
      </w:r>
      <w:proofErr w:type="spellEnd"/>
      <w:r w:rsidRPr="001C7CE1">
        <w:rPr>
          <w:rFonts w:cs="Times New Roman"/>
        </w:rPr>
        <w:t xml:space="preserve"> </w:t>
      </w:r>
      <w:r>
        <w:rPr>
          <w:rFonts w:cs="Times New Roman"/>
        </w:rPr>
        <w:t xml:space="preserve">debido a que los índices provinciales resultan afectados por la intervención del INDEC; </w:t>
      </w:r>
      <w:r w:rsidRPr="001C7CE1">
        <w:rPr>
          <w:rFonts w:cs="Times New Roman"/>
        </w:rPr>
        <w:t>y desde Septiembre 2013 utiliza el IPC de la CABA.</w:t>
      </w:r>
    </w:p>
  </w:footnote>
  <w:footnote w:id="4">
    <w:p w:rsidR="00615343" w:rsidRDefault="00615343" w:rsidP="007865D1">
      <w:pPr>
        <w:pStyle w:val="NormalWeb"/>
        <w:spacing w:before="0" w:beforeAutospacing="0" w:after="0" w:afterAutospacing="0"/>
        <w:jc w:val="both"/>
      </w:pPr>
      <w:r w:rsidRPr="00407B06">
        <w:rPr>
          <w:rStyle w:val="Refdenotaalpie"/>
          <w:sz w:val="20"/>
          <w:szCs w:val="20"/>
        </w:rPr>
        <w:footnoteRef/>
      </w:r>
      <w:r w:rsidRPr="00407B06">
        <w:rPr>
          <w:rFonts w:ascii="Times New Roman" w:hAnsi="Times New Roman" w:cs="Times New Roman"/>
          <w:sz w:val="20"/>
          <w:szCs w:val="20"/>
        </w:rPr>
        <w:t>La igualdad de montos se establece por zona a fin de respetar los derechos ya adquiridos por las regiones que reciben mayores montos, y será obligación del órgano de Contralor establecido en el artículo 9º del proyecto de ley aquí presentado convocar, con urgencia, a las autoridades y sectores pertinentes para revisar el esquema de zonas diferenciales, a fin de que estas garanticen un valor real equivalente para todos los titulares de las prestaciones a lo largo y a lo ancho de nuestro país, más allá del valor nominal</w:t>
      </w:r>
      <w:r w:rsidRPr="00407B06">
        <w:rPr>
          <w:sz w:val="20"/>
          <w:szCs w:val="20"/>
        </w:rPr>
        <w:t xml:space="preserve">. </w:t>
      </w:r>
      <w:r w:rsidRPr="00407B06">
        <w:rPr>
          <w:sz w:val="20"/>
          <w:szCs w:val="20"/>
        </w:rPr>
        <w:tab/>
      </w:r>
    </w:p>
  </w:footnote>
  <w:footnote w:id="5">
    <w:p w:rsidR="00615343" w:rsidRPr="00FE650F" w:rsidRDefault="00615343" w:rsidP="007865D1">
      <w:pPr>
        <w:pStyle w:val="Textonotapie"/>
        <w:rPr>
          <w:sz w:val="16"/>
          <w:szCs w:val="16"/>
        </w:rPr>
      </w:pPr>
      <w:r w:rsidRPr="00FE650F">
        <w:rPr>
          <w:rStyle w:val="Refdenotaalpie"/>
          <w:szCs w:val="16"/>
        </w:rPr>
        <w:footnoteRef/>
      </w:r>
      <w:r w:rsidRPr="00FE650F">
        <w:rPr>
          <w:sz w:val="16"/>
          <w:szCs w:val="16"/>
        </w:rPr>
        <w:t xml:space="preserve"> Un informe del  Ministro de Educación que busca dar cuenta del impacto de la AUPS en la asistencia a educación formal estima que el aumento promedio de la matrícula es del 15,3%. Sin embargo, este porcentaje surge de  presenta serias inconsistencias metodológicas en varios aspectos, por un lado, la metodología de recolección  consiste en “estimaciones” resultantes de una encuesta telefónica a los directivos de las escuelas. A su vez, el dato surge en base a una muestra  de 676 escuelas que resulta poco representativa ante un universo total de más de 40.000 establecimientos. Por último cabe destacar que la imputación del aumento de la matrícula a la AUPS, no se trata de una imputación efectiva sino que de la</w:t>
      </w:r>
      <w:r w:rsidRPr="00FE650F">
        <w:rPr>
          <w:i/>
          <w:sz w:val="16"/>
          <w:szCs w:val="16"/>
        </w:rPr>
        <w:t xml:space="preserve"> percepción</w:t>
      </w:r>
      <w:r w:rsidRPr="00FE650F">
        <w:rPr>
          <w:sz w:val="16"/>
          <w:szCs w:val="16"/>
        </w:rPr>
        <w:t xml:space="preserve"> de los directivos respecto a los motivos del aumento, por lo cual no puede ser tomada como la razón de hecho. (http://www.me.gov.ar/me_prog/asignacionuniversal.html</w:t>
      </w:r>
    </w:p>
    <w:p w:rsidR="00615343" w:rsidRPr="00FE650F" w:rsidRDefault="00615343" w:rsidP="007865D1">
      <w:pPr>
        <w:pStyle w:val="Textonotapie"/>
        <w:rPr>
          <w:sz w:val="16"/>
          <w:szCs w:val="16"/>
        </w:rPr>
      </w:pPr>
      <w:r w:rsidRPr="00FE650F">
        <w:rPr>
          <w:sz w:val="16"/>
          <w:szCs w:val="16"/>
        </w:rPr>
        <w:t xml:space="preserve">Más allá de este análisis en particular, en términos generales, los estudios que intentan dar cuenta de que el factor punitorio en los Programas de Transferencia de Ingresos Condicionada presentan una incidencia positiva en la asistencia a los efectores de salud y educación,  parten de un sesgo metodológico que no permite comprobar su efectividad en la medida que las investigaciones se acotan al período de análisis post-asistencia social, no pudiendo “determinar si el alto grado de cumplimiento de las condicionalidades … ha sido resultado del “estímulo” de los programas o bien era un compromiso preexistente a su puesta en marcha. (Pautassi L. y otros, (2010) “Cap. V: Idas y vueltas en las políticas sociales: el protagonismo de la pobreza en la agenda </w:t>
      </w:r>
      <w:proofErr w:type="spellStart"/>
      <w:r w:rsidRPr="00FE650F">
        <w:rPr>
          <w:sz w:val="16"/>
          <w:szCs w:val="16"/>
        </w:rPr>
        <w:t>públcia</w:t>
      </w:r>
      <w:proofErr w:type="spellEnd"/>
      <w:r w:rsidRPr="00FE650F">
        <w:rPr>
          <w:sz w:val="16"/>
          <w:szCs w:val="16"/>
        </w:rPr>
        <w:t xml:space="preserve">”, en CELS, </w:t>
      </w:r>
      <w:r w:rsidRPr="00FE650F">
        <w:rPr>
          <w:i/>
          <w:sz w:val="16"/>
          <w:szCs w:val="16"/>
        </w:rPr>
        <w:t xml:space="preserve">Derechos humanos en Argentina. Informe 2010  </w:t>
      </w:r>
      <w:r w:rsidRPr="00FE650F">
        <w:rPr>
          <w:sz w:val="16"/>
          <w:szCs w:val="16"/>
        </w:rPr>
        <w:t xml:space="preserve">Buenos Aires, Siglo XXI, pp. 240 y 241). </w:t>
      </w:r>
    </w:p>
    <w:p w:rsidR="00615343" w:rsidRDefault="00615343" w:rsidP="007865D1">
      <w:pPr>
        <w:pStyle w:val="Textonotapie"/>
      </w:pPr>
    </w:p>
  </w:footnote>
  <w:footnote w:id="6">
    <w:p w:rsidR="00615343" w:rsidRDefault="00615343">
      <w:pPr>
        <w:pStyle w:val="Textonotapie"/>
      </w:pPr>
      <w:r>
        <w:rPr>
          <w:rStyle w:val="Refdenotaalpie"/>
        </w:rPr>
        <w:footnoteRef/>
      </w:r>
      <w:r>
        <w:t xml:space="preserve"> El detalle de la estimación mencionada puede consultarse en los fundamentos del proyecto.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
      </v:shape>
    </w:pict>
  </w:numPicBullet>
  <w:abstractNum w:abstractNumId="0">
    <w:nsid w:val="04DE757D"/>
    <w:multiLevelType w:val="hybridMultilevel"/>
    <w:tmpl w:val="D2BE51A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A5812C1"/>
    <w:multiLevelType w:val="hybridMultilevel"/>
    <w:tmpl w:val="FFE48350"/>
    <w:lvl w:ilvl="0" w:tplc="040A0019">
      <w:start w:val="1"/>
      <w:numFmt w:val="lowerLetter"/>
      <w:lvlText w:val="%1."/>
      <w:lvlJc w:val="left"/>
      <w:pPr>
        <w:tabs>
          <w:tab w:val="num" w:pos="720"/>
        </w:tabs>
        <w:ind w:left="720" w:hanging="360"/>
      </w:pPr>
      <w:rPr>
        <w:rFonts w:cs="Times New Roman" w:hint="default"/>
        <w:color w:val="auto"/>
      </w:rPr>
    </w:lvl>
    <w:lvl w:ilvl="1" w:tplc="1BE0BA42">
      <w:start w:val="1"/>
      <w:numFmt w:val="bullet"/>
      <w:lvlText w:val=""/>
      <w:lvlPicBulletId w:val="0"/>
      <w:lvlJc w:val="left"/>
      <w:pPr>
        <w:tabs>
          <w:tab w:val="num" w:pos="1440"/>
        </w:tabs>
        <w:ind w:left="1440" w:hanging="360"/>
      </w:pPr>
      <w:rPr>
        <w:rFonts w:ascii="Symbol" w:hAnsi="Symbol" w:hint="default"/>
        <w:color w:val="auto"/>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nsid w:val="244229C8"/>
    <w:multiLevelType w:val="hybridMultilevel"/>
    <w:tmpl w:val="E1643B40"/>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34D3474C"/>
    <w:multiLevelType w:val="hybridMultilevel"/>
    <w:tmpl w:val="635AFD30"/>
    <w:lvl w:ilvl="0" w:tplc="040A0011">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4">
    <w:nsid w:val="38891216"/>
    <w:multiLevelType w:val="hybridMultilevel"/>
    <w:tmpl w:val="51F484D0"/>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3A800B04"/>
    <w:multiLevelType w:val="hybridMultilevel"/>
    <w:tmpl w:val="7BEEBB86"/>
    <w:lvl w:ilvl="0" w:tplc="7B724E10">
      <w:start w:val="2"/>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50A7626A"/>
    <w:multiLevelType w:val="hybridMultilevel"/>
    <w:tmpl w:val="4C4C7E88"/>
    <w:lvl w:ilvl="0" w:tplc="0492A39E">
      <w:start w:val="1"/>
      <w:numFmt w:val="upperRoman"/>
      <w:lvlText w:val="%1)"/>
      <w:lvlJc w:val="left"/>
      <w:pPr>
        <w:ind w:left="1648" w:hanging="720"/>
      </w:pPr>
      <w:rPr>
        <w:rFonts w:hint="default"/>
        <w:u w:val="single"/>
      </w:rPr>
    </w:lvl>
    <w:lvl w:ilvl="1" w:tplc="2C0A0019" w:tentative="1">
      <w:start w:val="1"/>
      <w:numFmt w:val="lowerLetter"/>
      <w:lvlText w:val="%2."/>
      <w:lvlJc w:val="left"/>
      <w:pPr>
        <w:ind w:left="2008" w:hanging="360"/>
      </w:pPr>
    </w:lvl>
    <w:lvl w:ilvl="2" w:tplc="2C0A001B" w:tentative="1">
      <w:start w:val="1"/>
      <w:numFmt w:val="lowerRoman"/>
      <w:lvlText w:val="%3."/>
      <w:lvlJc w:val="right"/>
      <w:pPr>
        <w:ind w:left="2728" w:hanging="180"/>
      </w:pPr>
    </w:lvl>
    <w:lvl w:ilvl="3" w:tplc="2C0A000F" w:tentative="1">
      <w:start w:val="1"/>
      <w:numFmt w:val="decimal"/>
      <w:lvlText w:val="%4."/>
      <w:lvlJc w:val="left"/>
      <w:pPr>
        <w:ind w:left="3448" w:hanging="360"/>
      </w:pPr>
    </w:lvl>
    <w:lvl w:ilvl="4" w:tplc="2C0A0019" w:tentative="1">
      <w:start w:val="1"/>
      <w:numFmt w:val="lowerLetter"/>
      <w:lvlText w:val="%5."/>
      <w:lvlJc w:val="left"/>
      <w:pPr>
        <w:ind w:left="4168" w:hanging="360"/>
      </w:pPr>
    </w:lvl>
    <w:lvl w:ilvl="5" w:tplc="2C0A001B" w:tentative="1">
      <w:start w:val="1"/>
      <w:numFmt w:val="lowerRoman"/>
      <w:lvlText w:val="%6."/>
      <w:lvlJc w:val="right"/>
      <w:pPr>
        <w:ind w:left="4888" w:hanging="180"/>
      </w:pPr>
    </w:lvl>
    <w:lvl w:ilvl="6" w:tplc="2C0A000F" w:tentative="1">
      <w:start w:val="1"/>
      <w:numFmt w:val="decimal"/>
      <w:lvlText w:val="%7."/>
      <w:lvlJc w:val="left"/>
      <w:pPr>
        <w:ind w:left="5608" w:hanging="360"/>
      </w:pPr>
    </w:lvl>
    <w:lvl w:ilvl="7" w:tplc="2C0A0019" w:tentative="1">
      <w:start w:val="1"/>
      <w:numFmt w:val="lowerLetter"/>
      <w:lvlText w:val="%8."/>
      <w:lvlJc w:val="left"/>
      <w:pPr>
        <w:ind w:left="6328" w:hanging="360"/>
      </w:pPr>
    </w:lvl>
    <w:lvl w:ilvl="8" w:tplc="2C0A001B" w:tentative="1">
      <w:start w:val="1"/>
      <w:numFmt w:val="lowerRoman"/>
      <w:lvlText w:val="%9."/>
      <w:lvlJc w:val="right"/>
      <w:pPr>
        <w:ind w:left="7048" w:hanging="180"/>
      </w:pPr>
    </w:lvl>
  </w:abstractNum>
  <w:abstractNum w:abstractNumId="7">
    <w:nsid w:val="583404F9"/>
    <w:multiLevelType w:val="hybridMultilevel"/>
    <w:tmpl w:val="74B0EE3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6"/>
  </w:num>
  <w:num w:numId="5">
    <w:abstractNumId w:val="2"/>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7229E"/>
    <w:rsid w:val="0000663F"/>
    <w:rsid w:val="000549AA"/>
    <w:rsid w:val="000A5D88"/>
    <w:rsid w:val="0012514A"/>
    <w:rsid w:val="0022444A"/>
    <w:rsid w:val="00254A83"/>
    <w:rsid w:val="002B2674"/>
    <w:rsid w:val="002F569C"/>
    <w:rsid w:val="00341DE1"/>
    <w:rsid w:val="00450586"/>
    <w:rsid w:val="00521C70"/>
    <w:rsid w:val="00550CC1"/>
    <w:rsid w:val="0057134A"/>
    <w:rsid w:val="00585659"/>
    <w:rsid w:val="005B085A"/>
    <w:rsid w:val="005D7717"/>
    <w:rsid w:val="00607DFD"/>
    <w:rsid w:val="00615343"/>
    <w:rsid w:val="00757A64"/>
    <w:rsid w:val="007865D1"/>
    <w:rsid w:val="007966F6"/>
    <w:rsid w:val="00843FCA"/>
    <w:rsid w:val="00884B86"/>
    <w:rsid w:val="008B0880"/>
    <w:rsid w:val="00906B73"/>
    <w:rsid w:val="00951D7A"/>
    <w:rsid w:val="0097229E"/>
    <w:rsid w:val="00B125BE"/>
    <w:rsid w:val="00BD2601"/>
    <w:rsid w:val="00C37E8F"/>
    <w:rsid w:val="00C6643D"/>
    <w:rsid w:val="00C730E3"/>
    <w:rsid w:val="00C85658"/>
    <w:rsid w:val="00C920F8"/>
    <w:rsid w:val="00D70A16"/>
    <w:rsid w:val="00DD46DE"/>
    <w:rsid w:val="00E32F49"/>
    <w:rsid w:val="00F4327D"/>
    <w:rsid w:val="00FE14B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29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Car,Car3 Car,footnote Car,footnote text Car,Footnote reference Car,FA Fu Car,Footnote Text Char Char Char Char Char Car,Footnote Text Char Char Char Char Car,Footnote Text Char Char Char Car,Texto nota pie Car1, Car, Car3 Car"/>
    <w:basedOn w:val="Normal"/>
    <w:link w:val="TextonotapieCar"/>
    <w:uiPriority w:val="99"/>
    <w:unhideWhenUsed/>
    <w:rsid w:val="0097229E"/>
    <w:rPr>
      <w:sz w:val="20"/>
      <w:szCs w:val="20"/>
    </w:rPr>
  </w:style>
  <w:style w:type="character" w:customStyle="1" w:styleId="TextonotapieCar">
    <w:name w:val="Texto nota pie Car"/>
    <w:aliases w:val="Car Car,Car3 Car Car,footnote Car Car,footnote text Car Car,Footnote reference Car Car,FA Fu Car Car,Footnote Text Char Char Char Char Char Car Car,Footnote Text Char Char Char Char Car Car,Footnote Text Char Char Char Car Car"/>
    <w:basedOn w:val="Fuentedeprrafopredeter"/>
    <w:link w:val="Textonotapie"/>
    <w:uiPriority w:val="99"/>
    <w:rsid w:val="0097229E"/>
    <w:rPr>
      <w:sz w:val="20"/>
      <w:szCs w:val="20"/>
    </w:rPr>
  </w:style>
  <w:style w:type="character" w:styleId="Refdenotaalpie">
    <w:name w:val="footnote reference"/>
    <w:aliases w:val="normal,Ref,de nota al pie"/>
    <w:basedOn w:val="Fuentedeprrafopredeter"/>
    <w:uiPriority w:val="99"/>
    <w:unhideWhenUsed/>
    <w:rsid w:val="0097229E"/>
    <w:rPr>
      <w:vertAlign w:val="superscript"/>
    </w:rPr>
  </w:style>
  <w:style w:type="paragraph" w:styleId="Prrafodelista">
    <w:name w:val="List Paragraph"/>
    <w:basedOn w:val="Normal"/>
    <w:uiPriority w:val="34"/>
    <w:qFormat/>
    <w:rsid w:val="0097229E"/>
    <w:pPr>
      <w:ind w:left="720"/>
      <w:contextualSpacing/>
    </w:pPr>
  </w:style>
  <w:style w:type="paragraph" w:styleId="Textodeglobo">
    <w:name w:val="Balloon Text"/>
    <w:basedOn w:val="Normal"/>
    <w:link w:val="TextodegloboCar"/>
    <w:uiPriority w:val="99"/>
    <w:semiHidden/>
    <w:unhideWhenUsed/>
    <w:rsid w:val="00906B73"/>
    <w:rPr>
      <w:rFonts w:ascii="Tahoma" w:hAnsi="Tahoma" w:cs="Tahoma"/>
      <w:sz w:val="16"/>
      <w:szCs w:val="16"/>
    </w:rPr>
  </w:style>
  <w:style w:type="character" w:customStyle="1" w:styleId="TextodegloboCar">
    <w:name w:val="Texto de globo Car"/>
    <w:basedOn w:val="Fuentedeprrafopredeter"/>
    <w:link w:val="Textodeglobo"/>
    <w:uiPriority w:val="99"/>
    <w:semiHidden/>
    <w:rsid w:val="00906B73"/>
    <w:rPr>
      <w:rFonts w:ascii="Tahoma" w:hAnsi="Tahoma" w:cs="Tahoma"/>
      <w:sz w:val="16"/>
      <w:szCs w:val="16"/>
    </w:rPr>
  </w:style>
  <w:style w:type="paragraph" w:styleId="NormalWeb">
    <w:name w:val="Normal (Web)"/>
    <w:basedOn w:val="Normal"/>
    <w:rsid w:val="007865D1"/>
    <w:pPr>
      <w:spacing w:before="100" w:beforeAutospacing="1" w:after="100" w:afterAutospacing="1"/>
    </w:pPr>
    <w:rPr>
      <w:rFonts w:ascii="Arial Unicode MS" w:eastAsia="Arial Unicode MS" w:hAnsi="Arial Unicode MS" w:cs="Arial Unicode MS"/>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509995">
      <w:bodyDiv w:val="1"/>
      <w:marLeft w:val="0"/>
      <w:marRight w:val="0"/>
      <w:marTop w:val="0"/>
      <w:marBottom w:val="0"/>
      <w:divBdr>
        <w:top w:val="none" w:sz="0" w:space="0" w:color="auto"/>
        <w:left w:val="none" w:sz="0" w:space="0" w:color="auto"/>
        <w:bottom w:val="none" w:sz="0" w:space="0" w:color="auto"/>
        <w:right w:val="none" w:sz="0" w:space="0" w:color="auto"/>
      </w:divBdr>
    </w:div>
    <w:div w:id="1738670987">
      <w:bodyDiv w:val="1"/>
      <w:marLeft w:val="0"/>
      <w:marRight w:val="0"/>
      <w:marTop w:val="0"/>
      <w:marBottom w:val="0"/>
      <w:divBdr>
        <w:top w:val="none" w:sz="0" w:space="0" w:color="auto"/>
        <w:left w:val="none" w:sz="0" w:space="0" w:color="auto"/>
        <w:bottom w:val="none" w:sz="0" w:space="0" w:color="auto"/>
        <w:right w:val="none" w:sz="0" w:space="0" w:color="auto"/>
      </w:divBdr>
    </w:div>
    <w:div w:id="188409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0"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FA0953-FE25-4171-90A8-878F2FA49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16</Pages>
  <Words>4242</Words>
  <Characters>23331</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eXPerienciaUE</Company>
  <LinksUpToDate>false</LinksUpToDate>
  <CharactersWithSpaces>27518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Instituto</cp:lastModifiedBy>
  <cp:revision>17</cp:revision>
  <dcterms:created xsi:type="dcterms:W3CDTF">2015-12-10T18:58:00Z</dcterms:created>
  <dcterms:modified xsi:type="dcterms:W3CDTF">2015-12-15T17:09:00Z</dcterms:modified>
</cp:coreProperties>
</file>